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4.9.0.0 -->
  <w:body>
    <w:p>
      <w:pPr>
        <w:adjustRightInd w:val="0"/>
        <w:snapToGrid w:val="0"/>
        <w:spacing w:line="300" w:lineRule="auto"/>
        <w:jc w:val="left"/>
        <w:rPr>
          <w:b/>
          <w:bCs/>
          <w:snapToGrid w:val="0"/>
          <w:kern w:val="0"/>
          <w:sz w:val="28"/>
          <w:szCs w:val="28"/>
        </w:rPr>
      </w:pPr>
      <w:r>
        <w:rPr>
          <w:b/>
          <w:bCs/>
          <w:snapToGrid w:val="0"/>
          <w:kern w:val="0"/>
          <w:sz w:val="28"/>
          <w:szCs w:val="28"/>
        </w:rPr>
        <w:pict>
          <v:shapetype id="_x0000_t202" coordsize="21600,21600" o:spt="202" path="m,l,21600r21600,l21600,xe">
            <v:stroke joinstyle="miter"/>
            <v:path gradientshapeok="t" o:connecttype="rect"/>
          </v:shapetype>
          <v:shape id="文本框 299" o:spid="_x0000_s1025" type="#_x0000_t202" style="height:46.8pt;margin-left:45.7pt;margin-top:-3.3pt;mso-height-relative:page;mso-width-relative:page;position:absolute;width:294.8pt;z-index:251658240" coordsize="21600,21600" filled="t" fillcolor="white" stroked="t">
            <v:stroke joinstyle="miter"/>
            <o:lock v:ext="edit" aspectratio="f"/>
            <v:textbox>
              <w:txbxContent>
                <w:p>
                  <w:pPr>
                    <w:spacing w:line="400" w:lineRule="exact"/>
                    <w:rPr>
                      <w:rFonts w:ascii="仿宋_GB2312" w:eastAsia="仿宋_GB2312"/>
                      <w:b/>
                      <w:sz w:val="26"/>
                      <w:szCs w:val="26"/>
                    </w:rPr>
                  </w:pPr>
                  <w:r>
                    <w:rPr>
                      <w:rFonts w:ascii="仿宋_GB2312" w:eastAsia="仿宋_GB2312" w:hint="eastAsia"/>
                      <w:b/>
                      <w:sz w:val="26"/>
                      <w:szCs w:val="26"/>
                    </w:rPr>
                    <w:t>深 圳 市 中 正 招 标 有 限 公 司</w:t>
                  </w:r>
                </w:p>
                <w:p>
                  <w:pPr>
                    <w:spacing w:line="400" w:lineRule="exact"/>
                    <w:rPr>
                      <w:rFonts w:ascii="仿宋_GB2312" w:eastAsia="仿宋_GB2312"/>
                      <w:sz w:val="22"/>
                    </w:rPr>
                  </w:pPr>
                  <w:r>
                    <w:rPr>
                      <w:rFonts w:ascii="仿宋_GB2312" w:eastAsia="仿宋_GB2312" w:hint="eastAsia"/>
                      <w:sz w:val="22"/>
                    </w:rPr>
                    <w:t>SHENZHEN ZHONGZHENG TENDERING CO.,LTD.</w:t>
                  </w:r>
                </w:p>
              </w:txbxContent>
            </v:textbox>
          </v:shape>
        </w:pict>
      </w:r>
      <w:r>
        <w:rPr>
          <w:b/>
          <w:kern w:val="0"/>
          <w:sz w:val="28"/>
          <w:szCs w:val="28"/>
        </w:rPr>
        <w:drawing>
          <wp:inline distT="0" distB="0" distL="0" distR="0">
            <wp:extent cx="552450" cy="476250"/>
            <wp:effectExtent l="57150" t="19050" r="1905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xmlns:r="http://schemas.openxmlformats.org/officeDocument/2006/relationships" r:embed="rId5" cstate="print"/>
                    <a:stretch>
                      <a:fillRect/>
                    </a:stretch>
                  </pic:blipFill>
                  <pic:spPr>
                    <a:xfrm>
                      <a:off x="0" y="0"/>
                      <a:ext cx="552450" cy="476250"/>
                    </a:xfrm>
                    <a:prstGeom prst="rect">
                      <a:avLst/>
                    </a:prstGeom>
                    <a:solidFill>
                      <a:schemeClr val="bg1"/>
                    </a:solidFill>
                    <a:ln w="9525">
                      <a:noFill/>
                      <a:miter lim="800000"/>
                      <a:headEnd/>
                      <a:tailEnd/>
                    </a:ln>
                    <a:scene3d>
                      <a:camera prst="orthographicFront"/>
                      <a:lightRig rig="threePt" dir="t"/>
                    </a:scene3d>
                    <a:sp3d extrusionH="76200" contourW="12700">
                      <a:extrusionClr>
                        <a:schemeClr val="bg1"/>
                      </a:extrusionClr>
                      <a:contourClr>
                        <a:schemeClr val="bg1"/>
                      </a:contourClr>
                    </a:sp3d>
                  </pic:spPr>
                </pic:pic>
              </a:graphicData>
            </a:graphic>
          </wp:inline>
        </w:drawing>
      </w:r>
    </w:p>
    <w:p>
      <w:pPr>
        <w:ind w:left="-103" w:hanging="323" w:leftChars="-203" w:hangingChars="154"/>
        <w:rPr>
          <w:sz w:val="72"/>
          <w:szCs w:val="72"/>
        </w:rPr>
      </w:pPr>
    </w:p>
    <w:p>
      <w:pPr>
        <w:adjustRightInd w:val="0"/>
        <w:snapToGrid w:val="0"/>
        <w:spacing w:line="300" w:lineRule="auto"/>
        <w:jc w:val="left"/>
        <w:rPr>
          <w:b/>
          <w:bCs/>
          <w:snapToGrid w:val="0"/>
          <w:kern w:val="0"/>
          <w:sz w:val="28"/>
          <w:szCs w:val="28"/>
        </w:rPr>
      </w:pPr>
    </w:p>
    <w:p>
      <w:pPr>
        <w:adjustRightInd w:val="0"/>
        <w:snapToGrid w:val="0"/>
        <w:spacing w:line="300" w:lineRule="auto"/>
        <w:jc w:val="left"/>
        <w:rPr>
          <w:b/>
          <w:bCs/>
          <w:snapToGrid w:val="0"/>
          <w:kern w:val="0"/>
          <w:sz w:val="28"/>
          <w:szCs w:val="28"/>
        </w:rPr>
      </w:pPr>
      <w:r>
        <w:rPr>
          <w:rFonts w:hint="eastAsia"/>
          <w:b/>
          <w:bCs/>
          <w:snapToGrid w:val="0"/>
          <w:kern w:val="0"/>
          <w:sz w:val="28"/>
          <w:szCs w:val="28"/>
        </w:rPr>
        <w:t xml:space="preserve"> </w:t>
      </w:r>
    </w:p>
    <w:p>
      <w:pPr>
        <w:adjustRightInd w:val="0"/>
        <w:snapToGrid w:val="0"/>
        <w:spacing w:line="300" w:lineRule="auto"/>
        <w:jc w:val="left"/>
        <w:rPr>
          <w:b/>
          <w:bCs/>
          <w:snapToGrid w:val="0"/>
          <w:kern w:val="0"/>
          <w:sz w:val="28"/>
          <w:szCs w:val="28"/>
        </w:rPr>
      </w:pPr>
    </w:p>
    <w:p>
      <w:pPr>
        <w:adjustRightInd w:val="0"/>
        <w:snapToGrid w:val="0"/>
        <w:spacing w:line="300" w:lineRule="auto"/>
        <w:jc w:val="center"/>
        <w:rPr>
          <w:rFonts w:asciiTheme="minorEastAsia" w:eastAsiaTheme="minorEastAsia" w:hAnsiTheme="minorEastAsia" w:hint="eastAsia"/>
          <w:b/>
          <w:snapToGrid w:val="0"/>
          <w:kern w:val="0"/>
          <w:sz w:val="70"/>
          <w:szCs w:val="70"/>
          <w:lang w:eastAsia="zh-CN"/>
        </w:rPr>
      </w:pPr>
      <w:r>
        <w:rPr>
          <w:rFonts w:asciiTheme="minorEastAsia" w:eastAsiaTheme="minorEastAsia" w:hAnsiTheme="minorEastAsia" w:hint="eastAsia"/>
          <w:b/>
          <w:bCs/>
          <w:snapToGrid w:val="0"/>
          <w:kern w:val="0"/>
          <w:sz w:val="70"/>
          <w:szCs w:val="70"/>
          <w:lang w:eastAsia="zh-CN"/>
        </w:rPr>
        <w:t>坪山区“互联网+明厨亮灶”视频服务采购项目</w:t>
      </w:r>
    </w:p>
    <w:p>
      <w:pPr>
        <w:adjustRightInd w:val="0"/>
        <w:snapToGrid w:val="0"/>
        <w:spacing w:line="300" w:lineRule="auto"/>
        <w:jc w:val="center"/>
        <w:rPr>
          <w:rFonts w:asciiTheme="minorEastAsia" w:eastAsiaTheme="minorEastAsia" w:hAnsiTheme="minorEastAsia"/>
          <w:b/>
          <w:snapToGrid w:val="0"/>
          <w:kern w:val="0"/>
          <w:sz w:val="44"/>
          <w:szCs w:val="44"/>
        </w:rPr>
      </w:pPr>
    </w:p>
    <w:p>
      <w:pPr>
        <w:adjustRightInd w:val="0"/>
        <w:snapToGrid w:val="0"/>
        <w:spacing w:line="300" w:lineRule="auto"/>
        <w:jc w:val="center"/>
        <w:rPr>
          <w:rFonts w:asciiTheme="minorEastAsia" w:eastAsiaTheme="minorEastAsia" w:hAnsiTheme="minorEastAsia"/>
          <w:b/>
          <w:snapToGrid w:val="0"/>
          <w:kern w:val="0"/>
          <w:sz w:val="44"/>
          <w:szCs w:val="44"/>
        </w:rPr>
      </w:pPr>
    </w:p>
    <w:p>
      <w:pPr>
        <w:adjustRightInd w:val="0"/>
        <w:snapToGrid w:val="0"/>
        <w:spacing w:line="300" w:lineRule="auto"/>
        <w:jc w:val="center"/>
        <w:rPr>
          <w:rFonts w:asciiTheme="minorEastAsia" w:eastAsiaTheme="minorEastAsia" w:hAnsiTheme="minorEastAsia"/>
          <w:b/>
          <w:snapToGrid w:val="0"/>
          <w:kern w:val="0"/>
          <w:sz w:val="44"/>
          <w:szCs w:val="44"/>
        </w:rPr>
      </w:pPr>
    </w:p>
    <w:p>
      <w:pPr>
        <w:adjustRightInd w:val="0"/>
        <w:snapToGrid w:val="0"/>
        <w:spacing w:line="300" w:lineRule="auto"/>
        <w:jc w:val="center"/>
        <w:rPr>
          <w:rFonts w:asciiTheme="minorEastAsia" w:eastAsiaTheme="minorEastAsia" w:hAnsiTheme="minorEastAsia"/>
          <w:b/>
          <w:snapToGrid w:val="0"/>
          <w:kern w:val="0"/>
          <w:sz w:val="90"/>
        </w:rPr>
      </w:pPr>
      <w:r>
        <w:rPr>
          <w:rFonts w:asciiTheme="minorEastAsia" w:eastAsiaTheme="minorEastAsia" w:hAnsiTheme="minorEastAsia" w:hint="eastAsia"/>
          <w:b/>
          <w:snapToGrid w:val="0"/>
          <w:kern w:val="0"/>
          <w:sz w:val="90"/>
        </w:rPr>
        <w:t>服务类招标文件</w:t>
      </w:r>
    </w:p>
    <w:p>
      <w:pPr>
        <w:adjustRightInd w:val="0"/>
        <w:snapToGrid w:val="0"/>
        <w:spacing w:line="300" w:lineRule="auto"/>
        <w:jc w:val="center"/>
        <w:rPr>
          <w:rFonts w:asciiTheme="minorEastAsia" w:eastAsiaTheme="minorEastAsia" w:hAnsiTheme="minorEastAsia"/>
          <w:b/>
          <w:snapToGrid w:val="0"/>
          <w:kern w:val="0"/>
          <w:sz w:val="32"/>
        </w:rPr>
      </w:pPr>
    </w:p>
    <w:p>
      <w:pPr>
        <w:adjustRightInd w:val="0"/>
        <w:snapToGrid w:val="0"/>
        <w:spacing w:line="300" w:lineRule="auto"/>
        <w:jc w:val="center"/>
        <w:rPr>
          <w:rFonts w:asciiTheme="minorEastAsia" w:eastAsiaTheme="minorEastAsia" w:hAnsiTheme="minorEastAsia" w:hint="eastAsia"/>
          <w:b/>
          <w:snapToGrid w:val="0"/>
          <w:kern w:val="0"/>
          <w:sz w:val="32"/>
          <w:lang w:eastAsia="zh-CN"/>
        </w:rPr>
      </w:pPr>
      <w:r>
        <w:rPr>
          <w:rFonts w:asciiTheme="minorEastAsia" w:eastAsiaTheme="minorEastAsia" w:hAnsiTheme="minorEastAsia" w:hint="eastAsia"/>
          <w:b/>
          <w:snapToGrid w:val="0"/>
          <w:kern w:val="0"/>
          <w:sz w:val="32"/>
        </w:rPr>
        <w:t>项目编号：</w:t>
      </w:r>
      <w:r>
        <w:rPr>
          <w:rFonts w:asciiTheme="minorEastAsia" w:eastAsiaTheme="minorEastAsia" w:hAnsiTheme="minorEastAsia" w:hint="eastAsia"/>
          <w:b/>
          <w:snapToGrid w:val="0"/>
          <w:kern w:val="0"/>
          <w:sz w:val="32"/>
          <w:lang w:eastAsia="zh-CN"/>
        </w:rPr>
        <w:t>PSDL2025000002</w:t>
      </w:r>
    </w:p>
    <w:p>
      <w:pPr>
        <w:adjustRightInd w:val="0"/>
        <w:snapToGrid w:val="0"/>
        <w:spacing w:line="300" w:lineRule="auto"/>
        <w:jc w:val="center"/>
        <w:rPr>
          <w:rFonts w:asciiTheme="minorEastAsia" w:eastAsiaTheme="minorEastAsia" w:hAnsiTheme="minorEastAsia"/>
          <w:b/>
          <w:snapToGrid w:val="0"/>
          <w:kern w:val="0"/>
          <w:sz w:val="18"/>
          <w:szCs w:val="18"/>
        </w:rPr>
      </w:pPr>
    </w:p>
    <w:p>
      <w:pPr>
        <w:adjustRightInd w:val="0"/>
        <w:snapToGrid w:val="0"/>
        <w:spacing w:line="300" w:lineRule="auto"/>
        <w:jc w:val="center"/>
        <w:rPr>
          <w:rFonts w:asciiTheme="minorEastAsia" w:eastAsiaTheme="minorEastAsia" w:hAnsiTheme="minorEastAsia"/>
          <w:b/>
          <w:snapToGrid w:val="0"/>
          <w:kern w:val="0"/>
          <w:sz w:val="44"/>
        </w:rPr>
      </w:pPr>
    </w:p>
    <w:p>
      <w:pPr>
        <w:adjustRightInd w:val="0"/>
        <w:snapToGrid w:val="0"/>
        <w:spacing w:line="300" w:lineRule="auto"/>
        <w:jc w:val="center"/>
        <w:rPr>
          <w:rFonts w:asciiTheme="minorEastAsia" w:eastAsiaTheme="minorEastAsia" w:hAnsiTheme="minorEastAsia"/>
          <w:b/>
          <w:snapToGrid w:val="0"/>
          <w:kern w:val="0"/>
          <w:sz w:val="44"/>
        </w:rPr>
      </w:pPr>
      <w:r>
        <w:rPr>
          <w:rFonts w:asciiTheme="minorEastAsia" w:eastAsiaTheme="minorEastAsia" w:hAnsiTheme="minorEastAsia"/>
          <w:b/>
          <w:snapToGrid w:val="0"/>
          <w:kern w:val="0"/>
          <w:sz w:val="44"/>
        </w:rPr>
        <w:t xml:space="preserve"> </w:t>
      </w:r>
    </w:p>
    <w:p>
      <w:pPr>
        <w:pStyle w:val="NormalIndent"/>
      </w:pPr>
    </w:p>
    <w:p>
      <w:pPr>
        <w:rPr>
          <w:rFonts w:asciiTheme="minorEastAsia" w:eastAsiaTheme="minorEastAsia" w:hAnsiTheme="minorEastAsia"/>
        </w:rPr>
      </w:pPr>
    </w:p>
    <w:p>
      <w:pPr>
        <w:rPr>
          <w:rFonts w:asciiTheme="minorEastAsia" w:eastAsiaTheme="minorEastAsia" w:hAnsiTheme="minorEastAsia"/>
        </w:rPr>
      </w:pPr>
    </w:p>
    <w:p>
      <w:pPr>
        <w:rPr>
          <w:rFonts w:asciiTheme="minorEastAsia" w:eastAsiaTheme="minorEastAsia" w:hAnsiTheme="minorEastAsia"/>
        </w:rPr>
      </w:pPr>
    </w:p>
    <w:p>
      <w:pPr>
        <w:pStyle w:val="Date"/>
        <w:adjustRightInd w:val="0"/>
        <w:snapToGrid w:val="0"/>
        <w:spacing w:line="300" w:lineRule="auto"/>
        <w:jc w:val="center"/>
        <w:rPr>
          <w:sz w:val="40"/>
          <w:szCs w:val="40"/>
        </w:rPr>
      </w:pPr>
      <w:r>
        <w:rPr>
          <w:rFonts w:asciiTheme="minorEastAsia" w:eastAsiaTheme="minorEastAsia" w:hAnsiTheme="minorEastAsia" w:hint="eastAsia"/>
          <w:b/>
          <w:snapToGrid w:val="0"/>
          <w:sz w:val="30"/>
        </w:rPr>
        <w:t>二〇二</w:t>
      </w:r>
      <w:r>
        <w:rPr>
          <w:rFonts w:asciiTheme="minorEastAsia" w:eastAsiaTheme="minorEastAsia" w:hAnsiTheme="minorEastAsia" w:hint="eastAsia"/>
          <w:b/>
          <w:snapToGrid w:val="0"/>
          <w:sz w:val="30"/>
          <w:lang w:val="en-US" w:eastAsia="zh-CN"/>
        </w:rPr>
        <w:t>五</w:t>
      </w:r>
      <w:r>
        <w:rPr>
          <w:rFonts w:asciiTheme="minorEastAsia" w:eastAsiaTheme="minorEastAsia" w:hAnsiTheme="minorEastAsia" w:hint="eastAsia"/>
          <w:b/>
          <w:snapToGrid w:val="0"/>
          <w:sz w:val="30"/>
        </w:rPr>
        <w:t>年</w:t>
      </w:r>
      <w:r>
        <w:rPr>
          <w:rFonts w:asciiTheme="minorEastAsia" w:eastAsiaTheme="minorEastAsia" w:hAnsiTheme="minorEastAsia" w:hint="eastAsia"/>
          <w:b/>
          <w:snapToGrid w:val="0"/>
          <w:sz w:val="30"/>
          <w:lang w:val="en-US" w:eastAsia="zh-CN"/>
        </w:rPr>
        <w:t>一</w:t>
      </w:r>
      <w:r>
        <w:rPr>
          <w:rFonts w:asciiTheme="minorEastAsia" w:eastAsiaTheme="minorEastAsia" w:hAnsiTheme="minorEastAsia" w:hint="eastAsia"/>
          <w:b/>
          <w:snapToGrid w:val="0"/>
          <w:sz w:val="30"/>
        </w:rPr>
        <w:t>月</w:t>
      </w:r>
    </w:p>
    <w:p>
      <w:pPr>
        <w:jc w:val="center"/>
        <w:rPr>
          <w:rFonts w:asciiTheme="minorEastAsia" w:eastAsiaTheme="minorEastAsia" w:hAnsiTheme="minorEastAsia"/>
          <w:b/>
          <w:bCs/>
          <w:sz w:val="44"/>
          <w:szCs w:val="44"/>
        </w:rPr>
      </w:pPr>
      <w:r>
        <w:rPr>
          <w:rFonts w:asciiTheme="minorEastAsia" w:eastAsiaTheme="minorEastAsia" w:hAnsiTheme="minorEastAsia" w:hint="eastAsia"/>
          <w:b/>
          <w:bCs/>
          <w:sz w:val="44"/>
          <w:szCs w:val="44"/>
        </w:rPr>
        <w:t>特别警示条款</w:t>
      </w:r>
    </w:p>
    <w:p>
      <w:pPr>
        <w:spacing w:line="360" w:lineRule="auto"/>
        <w:ind w:firstLine="420" w:firstLineChars="200"/>
        <w:rPr>
          <w:rFonts w:ascii="仿宋" w:eastAsia="仿宋" w:hAnsi="仿宋"/>
          <w:sz w:val="24"/>
        </w:rPr>
      </w:pP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一、《深圳经济特区政府采购条例》</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第五十七条</w:t>
      </w:r>
      <w:r>
        <w:rPr>
          <w:rFonts w:asciiTheme="minorEastAsia" w:eastAsiaTheme="minorEastAsia" w:hAnsiTheme="minorEastAsia"/>
          <w:szCs w:val="21"/>
        </w:rPr>
        <w:t xml:space="preserve"> </w:t>
      </w:r>
      <w:r>
        <w:rPr>
          <w:rFonts w:asciiTheme="minorEastAsia" w:eastAsiaTheme="minorEastAsia" w:hAnsiTheme="minorEastAsia" w:hint="eastAsia"/>
          <w:szCs w:val="21"/>
        </w:rPr>
        <w:t>供应商在政府采购中，有下列行为之一的，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构成犯罪的，依法追究刑事责任：</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（一）在采购活动中应当回避而未回避的；</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（二）未按本条例规定签订、履行采购合同，造成严重后果的；</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（三）隐瞒真实情况，提供虚假资料的；</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（四）以非法手段排斥其他供应商参与竞争的；</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（五）与其他采购参加人串通投标的；</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（六）恶意投诉的；</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（七）向采购项目相关人行贿或者提供其他不当利益的；</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（八）阻碍、抗拒主管部门监督检查的；</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（九）其他违反本条例规定的行为。</w:t>
      </w:r>
    </w:p>
    <w:p>
      <w:pPr>
        <w:widowControl/>
        <w:spacing w:after="120"/>
        <w:jc w:val="left"/>
        <w:rPr>
          <w:rFonts w:ascii="Times New Roman" w:hAnsi="Times New Roman" w:eastAsiaTheme="minorEastAsia"/>
          <w:kern w:val="0"/>
          <w:sz w:val="24"/>
          <w:szCs w:val="24"/>
        </w:rPr>
      </w:pP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二、《深圳经济特区政府采购条例实施细则》</w:t>
      </w:r>
    </w:p>
    <w:p>
      <w:pPr>
        <w:spacing w:line="440" w:lineRule="exact"/>
        <w:ind w:firstLine="420" w:firstLineChars="200"/>
        <w:rPr>
          <w:rFonts w:asciiTheme="minorEastAsia" w:eastAsiaTheme="minorEastAsia" w:hAnsiTheme="minorEastAsia"/>
          <w:b/>
          <w:color w:val="FF0000"/>
          <w:szCs w:val="21"/>
        </w:rPr>
      </w:pPr>
      <w:r>
        <w:rPr>
          <w:rFonts w:asciiTheme="minorEastAsia" w:eastAsiaTheme="minorEastAsia" w:hAnsiTheme="minorEastAsia" w:hint="eastAsia"/>
          <w:b/>
          <w:color w:val="FF0000"/>
          <w:szCs w:val="21"/>
        </w:rPr>
        <w:t>第七十五条 供应商有下列情形的，属于采购条例所称的串通投标行为，按照采购条例第五十七条有关规定处理：</w:t>
      </w:r>
    </w:p>
    <w:p>
      <w:pPr>
        <w:spacing w:line="440" w:lineRule="exact"/>
        <w:ind w:firstLine="420" w:firstLineChars="200"/>
        <w:rPr>
          <w:rFonts w:asciiTheme="minorEastAsia" w:eastAsiaTheme="minorEastAsia" w:hAnsiTheme="minorEastAsia"/>
          <w:b/>
          <w:color w:val="FF0000"/>
          <w:szCs w:val="21"/>
        </w:rPr>
      </w:pPr>
      <w:r>
        <w:rPr>
          <w:rFonts w:asciiTheme="minorEastAsia" w:eastAsiaTheme="minorEastAsia" w:hAnsiTheme="minorEastAsia" w:hint="eastAsia"/>
          <w:b/>
          <w:color w:val="FF0000"/>
          <w:szCs w:val="21"/>
        </w:rPr>
        <w:t>（一）投标供应商之间相互约定给予未中标的供应商利益补偿；</w:t>
      </w:r>
    </w:p>
    <w:p>
      <w:pPr>
        <w:spacing w:line="440" w:lineRule="exact"/>
        <w:ind w:firstLine="420" w:firstLineChars="200"/>
        <w:rPr>
          <w:rFonts w:asciiTheme="minorEastAsia" w:eastAsiaTheme="minorEastAsia" w:hAnsiTheme="minorEastAsia"/>
          <w:b/>
          <w:color w:val="FF0000"/>
          <w:szCs w:val="21"/>
        </w:rPr>
      </w:pPr>
      <w:r>
        <w:rPr>
          <w:rFonts w:asciiTheme="minorEastAsia" w:eastAsiaTheme="minorEastAsia" w:hAnsiTheme="minorEastAsia" w:hint="eastAsia"/>
          <w:b/>
          <w:color w:val="FF0000"/>
          <w:szCs w:val="21"/>
        </w:rPr>
        <w:t xml:space="preserve">（二）不同投标供应商的法定代表人、主要经营负责人、项目投标授权代表人、项目负责人、主要技术人员为同一人、属同一单位或者在同一单位缴纳社会保险；          </w:t>
      </w:r>
    </w:p>
    <w:p>
      <w:pPr>
        <w:spacing w:line="440" w:lineRule="exact"/>
        <w:ind w:firstLine="420" w:firstLineChars="200"/>
        <w:rPr>
          <w:rFonts w:asciiTheme="minorEastAsia" w:eastAsiaTheme="minorEastAsia" w:hAnsiTheme="minorEastAsia"/>
          <w:b/>
          <w:color w:val="FF0000"/>
          <w:szCs w:val="21"/>
        </w:rPr>
      </w:pPr>
      <w:r>
        <w:rPr>
          <w:rFonts w:asciiTheme="minorEastAsia" w:eastAsiaTheme="minorEastAsia" w:hAnsiTheme="minorEastAsia" w:hint="eastAsia"/>
          <w:b/>
          <w:color w:val="FF0000"/>
          <w:szCs w:val="21"/>
        </w:rPr>
        <w:t>（三）不同投标供应商的投标文件由同一单位或者同一人编制，或者由同一人分阶段参与编制的；</w:t>
      </w:r>
    </w:p>
    <w:p>
      <w:pPr>
        <w:spacing w:line="440" w:lineRule="exact"/>
        <w:ind w:firstLine="420" w:firstLineChars="200"/>
        <w:rPr>
          <w:rFonts w:asciiTheme="minorEastAsia" w:eastAsiaTheme="minorEastAsia" w:hAnsiTheme="minorEastAsia"/>
          <w:b/>
          <w:color w:val="FF0000"/>
          <w:szCs w:val="21"/>
        </w:rPr>
      </w:pPr>
      <w:r>
        <w:rPr>
          <w:rFonts w:asciiTheme="minorEastAsia" w:eastAsiaTheme="minorEastAsia" w:hAnsiTheme="minorEastAsia" w:hint="eastAsia"/>
          <w:b/>
          <w:color w:val="FF0000"/>
          <w:szCs w:val="21"/>
        </w:rPr>
        <w:t>（四）不同投标供应商的投标文件或部分投标文件相互混装；</w:t>
      </w:r>
    </w:p>
    <w:p>
      <w:pPr>
        <w:spacing w:line="440" w:lineRule="exact"/>
        <w:ind w:firstLine="420" w:firstLineChars="200"/>
        <w:rPr>
          <w:rFonts w:asciiTheme="minorEastAsia" w:eastAsiaTheme="minorEastAsia" w:hAnsiTheme="minorEastAsia"/>
          <w:b/>
          <w:color w:val="FF0000"/>
          <w:szCs w:val="21"/>
        </w:rPr>
      </w:pPr>
      <w:r>
        <w:rPr>
          <w:rFonts w:asciiTheme="minorEastAsia" w:eastAsiaTheme="minorEastAsia" w:hAnsiTheme="minorEastAsia" w:hint="eastAsia"/>
          <w:b/>
          <w:color w:val="FF0000"/>
          <w:szCs w:val="21"/>
        </w:rPr>
        <w:t>（五）不同投标供应商的投标文件内容存在非正常一致；</w:t>
      </w:r>
    </w:p>
    <w:p>
      <w:pPr>
        <w:spacing w:line="440" w:lineRule="exact"/>
        <w:ind w:firstLine="420" w:firstLineChars="200"/>
        <w:rPr>
          <w:rFonts w:asciiTheme="minorEastAsia" w:eastAsiaTheme="minorEastAsia" w:hAnsiTheme="minorEastAsia"/>
          <w:b/>
          <w:color w:val="FF0000"/>
          <w:szCs w:val="21"/>
        </w:rPr>
      </w:pPr>
      <w:r>
        <w:rPr>
          <w:rFonts w:asciiTheme="minorEastAsia" w:eastAsiaTheme="minorEastAsia" w:hAnsiTheme="minorEastAsia" w:hint="eastAsia"/>
          <w:b/>
          <w:color w:val="FF0000"/>
          <w:szCs w:val="21"/>
        </w:rPr>
        <w:t>（六）由同一单位工作人员为两家以上（含两家）供应商进行同一项投标活动的；</w:t>
      </w:r>
    </w:p>
    <w:p>
      <w:pPr>
        <w:spacing w:line="440" w:lineRule="exact"/>
        <w:ind w:firstLine="420" w:firstLineChars="200"/>
        <w:rPr>
          <w:rFonts w:asciiTheme="minorEastAsia" w:eastAsiaTheme="minorEastAsia" w:hAnsiTheme="minorEastAsia"/>
          <w:b/>
          <w:color w:val="FF0000"/>
          <w:szCs w:val="21"/>
        </w:rPr>
      </w:pPr>
      <w:r>
        <w:rPr>
          <w:rFonts w:asciiTheme="minorEastAsia" w:eastAsiaTheme="minorEastAsia" w:hAnsiTheme="minorEastAsia" w:hint="eastAsia"/>
          <w:b/>
          <w:color w:val="FF0000"/>
          <w:szCs w:val="21"/>
        </w:rPr>
        <w:t>（七）主管部门依照法律、法规认定的其他情形。</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第七十七条 供应商有下列情形之一的，属于隐瞒真实情况，提供虚假资料，按照采购条例第五十七的有关规定处理：</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（一）通过转让或者租借等方式从其他单位获取资格或者资质证书投标的；</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（二）由其他单位或者其他单位负责人在投标供应商编制的投标文件上加盖印章或者签字的；</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（三）项目负责人或者主要技术人员不是本单位人员的；</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（四）投标保证金不是从投标供应商基本账户转出的；</w:t>
      </w: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（五）其他隐瞒真实情况、提供虚假资料的行为。</w:t>
      </w:r>
    </w:p>
    <w:p>
      <w:pPr>
        <w:spacing w:line="440" w:lineRule="exact"/>
        <w:ind w:firstLine="372" w:firstLineChars="177"/>
        <w:rPr>
          <w:rFonts w:asciiTheme="minorEastAsia" w:eastAsiaTheme="minorEastAsia" w:hAnsiTheme="minorEastAsia"/>
          <w:szCs w:val="21"/>
        </w:rPr>
      </w:pPr>
      <w:r>
        <w:rPr>
          <w:rFonts w:asciiTheme="minorEastAsia" w:eastAsiaTheme="minorEastAsia" w:hAnsiTheme="minorEastAsia" w:hint="eastAsia"/>
          <w:szCs w:val="21"/>
        </w:rPr>
        <w:t>投标供应商不能提供项目负责人或者主要技术人员的劳动合同、社会保险等劳动关系证明材料的，视为存在前款第（三）项规定的情形。</w:t>
      </w:r>
    </w:p>
    <w:p>
      <w:pPr>
        <w:widowControl/>
        <w:spacing w:after="120"/>
        <w:jc w:val="left"/>
        <w:rPr>
          <w:rFonts w:ascii="Times New Roman" w:hAnsi="Times New Roman" w:eastAsiaTheme="minorEastAsia"/>
          <w:kern w:val="0"/>
          <w:sz w:val="24"/>
          <w:szCs w:val="24"/>
        </w:rPr>
      </w:pPr>
    </w:p>
    <w:p>
      <w:pPr>
        <w:spacing w:line="44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三、《中华人民共和国政府采购法实施条例》</w:t>
      </w:r>
    </w:p>
    <w:p>
      <w:pPr>
        <w:spacing w:line="440" w:lineRule="exact"/>
        <w:ind w:firstLine="372" w:firstLineChars="177"/>
        <w:rPr>
          <w:rFonts w:asciiTheme="minorEastAsia" w:eastAsiaTheme="minorEastAsia" w:hAnsiTheme="minorEastAsia"/>
          <w:szCs w:val="21"/>
        </w:rPr>
      </w:pPr>
      <w:r>
        <w:rPr>
          <w:rFonts w:asciiTheme="minorEastAsia" w:eastAsiaTheme="minorEastAsia" w:hAnsiTheme="minorEastAsia" w:hint="eastAsia"/>
          <w:szCs w:val="21"/>
        </w:rPr>
        <w:t>第十八条 单位负责人为同一人或者存在直接控股、管理关系的不同供应商，不得参加同一合同项下的政府采购活动。</w:t>
      </w:r>
    </w:p>
    <w:p>
      <w:pPr>
        <w:spacing w:line="440" w:lineRule="exact"/>
        <w:ind w:firstLine="372" w:firstLineChars="177"/>
        <w:rPr>
          <w:rFonts w:asciiTheme="minorEastAsia" w:eastAsiaTheme="minorEastAsia" w:hAnsiTheme="minorEastAsia"/>
          <w:szCs w:val="21"/>
        </w:rPr>
      </w:pPr>
      <w:r>
        <w:rPr>
          <w:rFonts w:asciiTheme="minorEastAsia" w:eastAsiaTheme="minorEastAsia" w:hAnsiTheme="minorEastAsia" w:hint="eastAsia"/>
          <w:szCs w:val="21"/>
        </w:rPr>
        <w:t>除单一来源采购项目外，为采购项目提供整体设计、规范编制或者项目管理、监理、检测等服务的供应商，不得再参加该采购项目的其他采购活动。</w:t>
      </w:r>
    </w:p>
    <w:p>
      <w:pPr>
        <w:spacing w:line="440" w:lineRule="exact"/>
        <w:ind w:firstLine="372" w:firstLineChars="177"/>
        <w:rPr>
          <w:rFonts w:asciiTheme="minorEastAsia" w:eastAsiaTheme="minorEastAsia" w:hAnsiTheme="minorEastAsia"/>
          <w:b/>
          <w:color w:val="FF0000"/>
          <w:szCs w:val="21"/>
        </w:rPr>
      </w:pPr>
    </w:p>
    <w:p>
      <w:pPr>
        <w:spacing w:line="440" w:lineRule="exact"/>
        <w:ind w:firstLine="372" w:firstLineChars="177"/>
        <w:rPr>
          <w:rFonts w:asciiTheme="minorEastAsia" w:eastAsiaTheme="minorEastAsia" w:hAnsiTheme="minorEastAsia"/>
          <w:b/>
          <w:color w:val="FF0000"/>
          <w:szCs w:val="21"/>
        </w:rPr>
      </w:pPr>
      <w:r>
        <w:rPr>
          <w:rFonts w:asciiTheme="minorEastAsia" w:eastAsiaTheme="minorEastAsia" w:hAnsiTheme="minorEastAsia" w:hint="eastAsia"/>
          <w:b/>
          <w:color w:val="FF0000"/>
          <w:szCs w:val="21"/>
        </w:rPr>
        <w:t>投标供应商涉嫌存在串通投标等违法行为的，将书面报告财政主管部门依法处理。</w:t>
      </w:r>
    </w:p>
    <w:p>
      <w:pPr>
        <w:spacing w:line="360" w:lineRule="auto"/>
        <w:ind w:firstLine="420" w:firstLineChars="200"/>
        <w:rPr>
          <w:sz w:val="40"/>
          <w:szCs w:val="40"/>
        </w:rPr>
      </w:pPr>
      <w:r>
        <w:rPr>
          <w:rFonts w:ascii="仿宋" w:eastAsia="仿宋" w:hAnsi="仿宋" w:hint="eastAsia"/>
          <w:sz w:val="24"/>
        </w:rPr>
        <w:cr/>
      </w:r>
    </w:p>
    <w:p>
      <w:pPr>
        <w:widowControl/>
        <w:jc w:val="left"/>
        <w:rPr>
          <w:rFonts w:ascii="宋体" w:hAnsi="宋体" w:cs="宋体"/>
          <w:kern w:val="0"/>
          <w:sz w:val="40"/>
          <w:szCs w:val="40"/>
        </w:rPr>
      </w:pPr>
      <w:r>
        <w:rPr>
          <w:sz w:val="40"/>
          <w:szCs w:val="40"/>
        </w:rPr>
        <w:br w:type="page"/>
      </w:r>
    </w:p>
    <w:p>
      <w:pPr>
        <w:pStyle w:val="NormalWeb"/>
        <w:spacing w:before="454" w:beforeAutospacing="0" w:after="454" w:afterAutospacing="0"/>
        <w:ind w:left="454" w:right="454"/>
        <w:jc w:val="center"/>
        <w:outlineLvl w:val="0"/>
        <w:rPr>
          <w:rFonts w:eastAsia="宋体" w:hint="eastAsia"/>
          <w:sz w:val="40"/>
          <w:szCs w:val="40"/>
          <w:lang w:eastAsia="zh-CN"/>
        </w:rPr>
      </w:pPr>
      <w:r>
        <w:rPr>
          <w:rFonts w:hint="eastAsia"/>
          <w:sz w:val="40"/>
          <w:szCs w:val="40"/>
          <w:lang w:eastAsia="zh-CN"/>
        </w:rPr>
        <w:t>坪山区“互联网+明厨亮灶”视频服务采购项目</w:t>
      </w:r>
    </w:p>
    <w:p>
      <w:pPr>
        <w:pStyle w:val="NormalWeb"/>
        <w:jc w:val="center"/>
        <w:outlineLvl w:val="1"/>
        <w:rPr>
          <w:rFonts w:ascii="黑体" w:eastAsia="黑体" w:hAnsi="黑体"/>
          <w:sz w:val="40"/>
          <w:szCs w:val="40"/>
        </w:rPr>
      </w:pPr>
      <w:r>
        <w:rPr>
          <w:rFonts w:ascii="黑体" w:eastAsia="黑体" w:hAnsi="黑体" w:hint="eastAsia"/>
          <w:sz w:val="40"/>
          <w:szCs w:val="40"/>
        </w:rPr>
        <w:t>招标文件信息</w:t>
      </w:r>
    </w:p>
    <w:tbl>
      <w:tblPr>
        <w:tblStyle w:val="TableNormal"/>
        <w:tblW w:w="7938" w:type="dxa"/>
        <w:jc w:val="center"/>
        <w:tblCellSpacing w:w="0" w:type="dxa"/>
        <w:tblCellMar>
          <w:top w:w="45" w:type="dxa"/>
          <w:left w:w="45" w:type="dxa"/>
          <w:bottom w:w="45" w:type="dxa"/>
          <w:right w:w="45" w:type="dxa"/>
        </w:tblCellMar>
      </w:tblPr>
      <w:tblGrid>
        <w:gridCol w:w="2722"/>
        <w:gridCol w:w="5216"/>
      </w:tblGrid>
      <w:tr>
        <w:tblPrEx>
          <w:tblW w:w="7938" w:type="dxa"/>
          <w:jc w:val="center"/>
          <w:tblCellSpacing w:w="0" w:type="dxa"/>
          <w:tblCellMar>
            <w:top w:w="45" w:type="dxa"/>
            <w:left w:w="45" w:type="dxa"/>
            <w:bottom w:w="45" w:type="dxa"/>
            <w:right w:w="45" w:type="dxa"/>
          </w:tblCellMar>
        </w:tblPrEx>
        <w:trPr>
          <w:trHeight w:val="737"/>
          <w:tblCellSpacing w:w="0" w:type="dxa"/>
          <w:jc w:val="center"/>
        </w:trPr>
        <w:tc>
          <w:tcPr>
            <w:tcW w:w="2722" w:type="dxa"/>
            <w:vAlign w:val="center"/>
          </w:tcPr>
          <w:p>
            <w:pPr>
              <w:jc w:val="right"/>
              <w:rPr>
                <w:rFonts w:asciiTheme="minorEastAsia" w:eastAsiaTheme="minorEastAsia" w:hAnsiTheme="minorEastAsia" w:cs="宋体"/>
                <w:sz w:val="30"/>
                <w:szCs w:val="30"/>
              </w:rPr>
            </w:pPr>
            <w:r>
              <w:rPr>
                <w:rFonts w:asciiTheme="minorEastAsia" w:eastAsiaTheme="minorEastAsia" w:hAnsiTheme="minorEastAsia"/>
                <w:sz w:val="30"/>
                <w:szCs w:val="30"/>
              </w:rPr>
              <w:t>项目编号：</w:t>
            </w:r>
          </w:p>
        </w:tc>
        <w:tc>
          <w:tcPr>
            <w:tcW w:w="0" w:type="auto"/>
            <w:vAlign w:val="center"/>
          </w:tcPr>
          <w:p>
            <w:pPr>
              <w:rPr>
                <w:rFonts w:asciiTheme="minorEastAsia" w:eastAsiaTheme="minorEastAsia" w:hAnsiTheme="minorEastAsia" w:cs="宋体" w:hint="eastAsia"/>
                <w:sz w:val="30"/>
                <w:szCs w:val="30"/>
                <w:lang w:eastAsia="zh-CN"/>
              </w:rPr>
            </w:pPr>
            <w:r>
              <w:rPr>
                <w:rFonts w:asciiTheme="minorEastAsia" w:eastAsiaTheme="minorEastAsia" w:hAnsiTheme="minorEastAsia" w:hint="eastAsia"/>
                <w:sz w:val="30"/>
                <w:szCs w:val="30"/>
                <w:lang w:eastAsia="zh-CN"/>
              </w:rPr>
              <w:t>PSDL2025000002</w:t>
            </w:r>
          </w:p>
        </w:tc>
      </w:tr>
      <w:tr>
        <w:tblPrEx>
          <w:tblW w:w="7938" w:type="dxa"/>
          <w:jc w:val="center"/>
          <w:tblCellSpacing w:w="0" w:type="dxa"/>
          <w:tblCellMar>
            <w:top w:w="45" w:type="dxa"/>
            <w:left w:w="45" w:type="dxa"/>
            <w:bottom w:w="45" w:type="dxa"/>
            <w:right w:w="45" w:type="dxa"/>
          </w:tblCellMar>
        </w:tblPrEx>
        <w:trPr>
          <w:trHeight w:val="737"/>
          <w:tblCellSpacing w:w="0" w:type="dxa"/>
          <w:jc w:val="center"/>
        </w:trPr>
        <w:tc>
          <w:tcPr>
            <w:tcW w:w="0" w:type="auto"/>
            <w:vAlign w:val="center"/>
          </w:tcPr>
          <w:p>
            <w:pPr>
              <w:jc w:val="right"/>
              <w:rPr>
                <w:rFonts w:asciiTheme="minorEastAsia" w:eastAsiaTheme="minorEastAsia" w:hAnsiTheme="minorEastAsia" w:cs="宋体"/>
                <w:sz w:val="30"/>
                <w:szCs w:val="30"/>
              </w:rPr>
            </w:pPr>
            <w:r>
              <w:rPr>
                <w:rFonts w:asciiTheme="minorEastAsia" w:eastAsiaTheme="minorEastAsia" w:hAnsiTheme="minorEastAsia"/>
                <w:sz w:val="30"/>
                <w:szCs w:val="30"/>
              </w:rPr>
              <w:t>项目名称：</w:t>
            </w:r>
          </w:p>
        </w:tc>
        <w:tc>
          <w:tcPr>
            <w:tcW w:w="0" w:type="auto"/>
            <w:vAlign w:val="center"/>
          </w:tcPr>
          <w:p>
            <w:pPr>
              <w:rPr>
                <w:rFonts w:asciiTheme="minorEastAsia" w:eastAsiaTheme="minorEastAsia" w:hAnsiTheme="minorEastAsia" w:cs="宋体" w:hint="eastAsia"/>
                <w:sz w:val="30"/>
                <w:szCs w:val="30"/>
                <w:lang w:eastAsia="zh-CN"/>
              </w:rPr>
            </w:pPr>
            <w:r>
              <w:rPr>
                <w:rFonts w:asciiTheme="minorEastAsia" w:eastAsiaTheme="minorEastAsia" w:hAnsiTheme="minorEastAsia" w:hint="eastAsia"/>
                <w:sz w:val="30"/>
                <w:szCs w:val="30"/>
                <w:lang w:eastAsia="zh-CN"/>
              </w:rPr>
              <w:t>坪山区“互联网+明厨亮灶”视频服务采购项目</w:t>
            </w:r>
          </w:p>
        </w:tc>
      </w:tr>
      <w:tr>
        <w:tblPrEx>
          <w:tblW w:w="7938" w:type="dxa"/>
          <w:jc w:val="center"/>
          <w:tblCellSpacing w:w="0" w:type="dxa"/>
          <w:tblCellMar>
            <w:top w:w="45" w:type="dxa"/>
            <w:left w:w="45" w:type="dxa"/>
            <w:bottom w:w="45" w:type="dxa"/>
            <w:right w:w="45" w:type="dxa"/>
          </w:tblCellMar>
        </w:tblPrEx>
        <w:trPr>
          <w:trHeight w:val="737"/>
          <w:tblCellSpacing w:w="0" w:type="dxa"/>
          <w:jc w:val="center"/>
        </w:trPr>
        <w:tc>
          <w:tcPr>
            <w:tcW w:w="0" w:type="auto"/>
            <w:vAlign w:val="center"/>
          </w:tcPr>
          <w:p>
            <w:pPr>
              <w:jc w:val="right"/>
              <w:rPr>
                <w:rFonts w:asciiTheme="minorEastAsia" w:eastAsiaTheme="minorEastAsia" w:hAnsiTheme="minorEastAsia" w:cs="宋体"/>
                <w:sz w:val="30"/>
                <w:szCs w:val="30"/>
              </w:rPr>
            </w:pPr>
            <w:r>
              <w:rPr>
                <w:rFonts w:asciiTheme="minorEastAsia" w:eastAsiaTheme="minorEastAsia" w:hAnsiTheme="minorEastAsia"/>
                <w:sz w:val="30"/>
                <w:szCs w:val="30"/>
              </w:rPr>
              <w:t>包 号：</w:t>
            </w:r>
          </w:p>
        </w:tc>
        <w:tc>
          <w:tcPr>
            <w:tcW w:w="0" w:type="auto"/>
            <w:vAlign w:val="center"/>
          </w:tcPr>
          <w:p>
            <w:pPr>
              <w:rPr>
                <w:rFonts w:asciiTheme="minorEastAsia" w:eastAsiaTheme="minorEastAsia" w:hAnsiTheme="minorEastAsia" w:cs="宋体"/>
                <w:sz w:val="30"/>
                <w:szCs w:val="30"/>
              </w:rPr>
            </w:pPr>
            <w:r>
              <w:rPr>
                <w:rFonts w:asciiTheme="minorEastAsia" w:eastAsiaTheme="minorEastAsia" w:hAnsiTheme="minorEastAsia"/>
                <w:sz w:val="30"/>
                <w:szCs w:val="30"/>
              </w:rPr>
              <w:t>A</w:t>
            </w:r>
          </w:p>
        </w:tc>
      </w:tr>
      <w:tr>
        <w:tblPrEx>
          <w:tblW w:w="7938" w:type="dxa"/>
          <w:jc w:val="center"/>
          <w:tblCellSpacing w:w="0" w:type="dxa"/>
          <w:tblCellMar>
            <w:top w:w="45" w:type="dxa"/>
            <w:left w:w="45" w:type="dxa"/>
            <w:bottom w:w="45" w:type="dxa"/>
            <w:right w:w="45" w:type="dxa"/>
          </w:tblCellMar>
        </w:tblPrEx>
        <w:trPr>
          <w:trHeight w:val="737"/>
          <w:tblCellSpacing w:w="0" w:type="dxa"/>
          <w:jc w:val="center"/>
        </w:trPr>
        <w:tc>
          <w:tcPr>
            <w:tcW w:w="0" w:type="auto"/>
            <w:vAlign w:val="center"/>
          </w:tcPr>
          <w:p>
            <w:pPr>
              <w:jc w:val="right"/>
              <w:rPr>
                <w:rFonts w:asciiTheme="minorEastAsia" w:eastAsiaTheme="minorEastAsia" w:hAnsiTheme="minorEastAsia" w:cs="宋体"/>
                <w:sz w:val="30"/>
                <w:szCs w:val="30"/>
              </w:rPr>
            </w:pPr>
            <w:r>
              <w:rPr>
                <w:rFonts w:asciiTheme="minorEastAsia" w:eastAsiaTheme="minorEastAsia" w:hAnsiTheme="minorEastAsia"/>
                <w:sz w:val="30"/>
                <w:szCs w:val="30"/>
              </w:rPr>
              <w:t>项目类型：</w:t>
            </w:r>
          </w:p>
        </w:tc>
        <w:tc>
          <w:tcPr>
            <w:tcW w:w="0" w:type="auto"/>
            <w:vAlign w:val="center"/>
          </w:tcPr>
          <w:p>
            <w:pPr>
              <w:rPr>
                <w:rFonts w:asciiTheme="minorEastAsia" w:eastAsiaTheme="minorEastAsia" w:hAnsiTheme="minorEastAsia" w:cs="宋体"/>
                <w:sz w:val="30"/>
                <w:szCs w:val="30"/>
              </w:rPr>
            </w:pPr>
            <w:r>
              <w:rPr>
                <w:rFonts w:asciiTheme="minorEastAsia" w:eastAsiaTheme="minorEastAsia" w:hAnsiTheme="minorEastAsia"/>
                <w:sz w:val="30"/>
                <w:szCs w:val="30"/>
              </w:rPr>
              <w:t>服务类</w:t>
            </w:r>
          </w:p>
        </w:tc>
      </w:tr>
      <w:tr>
        <w:tblPrEx>
          <w:tblW w:w="7938" w:type="dxa"/>
          <w:jc w:val="center"/>
          <w:tblCellSpacing w:w="0" w:type="dxa"/>
          <w:tblCellMar>
            <w:top w:w="45" w:type="dxa"/>
            <w:left w:w="45" w:type="dxa"/>
            <w:bottom w:w="45" w:type="dxa"/>
            <w:right w:w="45" w:type="dxa"/>
          </w:tblCellMar>
        </w:tblPrEx>
        <w:trPr>
          <w:trHeight w:val="737"/>
          <w:tblCellSpacing w:w="0" w:type="dxa"/>
          <w:jc w:val="center"/>
        </w:trPr>
        <w:tc>
          <w:tcPr>
            <w:tcW w:w="0" w:type="auto"/>
            <w:vAlign w:val="center"/>
          </w:tcPr>
          <w:p>
            <w:pPr>
              <w:jc w:val="right"/>
              <w:rPr>
                <w:rFonts w:asciiTheme="minorEastAsia" w:eastAsiaTheme="minorEastAsia" w:hAnsiTheme="minorEastAsia" w:cs="宋体"/>
                <w:sz w:val="30"/>
                <w:szCs w:val="30"/>
              </w:rPr>
            </w:pPr>
            <w:r>
              <w:rPr>
                <w:rFonts w:asciiTheme="minorEastAsia" w:eastAsiaTheme="minorEastAsia" w:hAnsiTheme="minorEastAsia"/>
                <w:sz w:val="30"/>
                <w:szCs w:val="30"/>
              </w:rPr>
              <w:t>采购方式：</w:t>
            </w:r>
          </w:p>
        </w:tc>
        <w:tc>
          <w:tcPr>
            <w:tcW w:w="0" w:type="auto"/>
            <w:vAlign w:val="center"/>
          </w:tcPr>
          <w:p>
            <w:pPr>
              <w:rPr>
                <w:rFonts w:asciiTheme="minorEastAsia" w:eastAsiaTheme="minorEastAsia" w:hAnsiTheme="minorEastAsia" w:cs="宋体"/>
                <w:sz w:val="30"/>
                <w:szCs w:val="30"/>
              </w:rPr>
            </w:pPr>
            <w:r>
              <w:rPr>
                <w:rFonts w:asciiTheme="minorEastAsia" w:eastAsiaTheme="minorEastAsia" w:hAnsiTheme="minorEastAsia"/>
                <w:sz w:val="30"/>
                <w:szCs w:val="30"/>
              </w:rPr>
              <w:t>公开招标</w:t>
            </w:r>
          </w:p>
        </w:tc>
      </w:tr>
      <w:tr>
        <w:tblPrEx>
          <w:tblW w:w="7938" w:type="dxa"/>
          <w:jc w:val="center"/>
          <w:tblCellSpacing w:w="0" w:type="dxa"/>
          <w:tblCellMar>
            <w:top w:w="45" w:type="dxa"/>
            <w:left w:w="45" w:type="dxa"/>
            <w:bottom w:w="45" w:type="dxa"/>
            <w:right w:w="45" w:type="dxa"/>
          </w:tblCellMar>
        </w:tblPrEx>
        <w:trPr>
          <w:trHeight w:val="737"/>
          <w:tblCellSpacing w:w="0" w:type="dxa"/>
          <w:jc w:val="center"/>
        </w:trPr>
        <w:tc>
          <w:tcPr>
            <w:tcW w:w="0" w:type="auto"/>
            <w:vAlign w:val="center"/>
          </w:tcPr>
          <w:p>
            <w:pPr>
              <w:jc w:val="right"/>
              <w:rPr>
                <w:rFonts w:ascii="宋体" w:hAnsi="宋体" w:cs="宋体"/>
                <w:sz w:val="30"/>
                <w:szCs w:val="30"/>
              </w:rPr>
            </w:pPr>
            <w:r>
              <w:rPr>
                <w:sz w:val="30"/>
                <w:szCs w:val="30"/>
              </w:rPr>
              <w:t>货币类型：</w:t>
            </w:r>
          </w:p>
        </w:tc>
        <w:tc>
          <w:tcPr>
            <w:tcW w:w="0" w:type="auto"/>
            <w:vAlign w:val="center"/>
          </w:tcPr>
          <w:p>
            <w:pPr>
              <w:rPr>
                <w:rFonts w:ascii="宋体" w:hAnsi="宋体" w:cs="宋体"/>
                <w:sz w:val="30"/>
                <w:szCs w:val="30"/>
              </w:rPr>
            </w:pPr>
            <w:r>
              <w:rPr>
                <w:sz w:val="30"/>
                <w:szCs w:val="30"/>
              </w:rPr>
              <w:t>人民币</w:t>
            </w:r>
          </w:p>
        </w:tc>
      </w:tr>
      <w:tr>
        <w:tblPrEx>
          <w:tblW w:w="7938" w:type="dxa"/>
          <w:jc w:val="center"/>
          <w:tblCellSpacing w:w="0" w:type="dxa"/>
          <w:tblCellMar>
            <w:top w:w="45" w:type="dxa"/>
            <w:left w:w="45" w:type="dxa"/>
            <w:bottom w:w="45" w:type="dxa"/>
            <w:right w:w="45" w:type="dxa"/>
          </w:tblCellMar>
        </w:tblPrEx>
        <w:trPr>
          <w:trHeight w:val="737"/>
          <w:tblCellSpacing w:w="0" w:type="dxa"/>
          <w:jc w:val="center"/>
        </w:trPr>
        <w:tc>
          <w:tcPr>
            <w:tcW w:w="0" w:type="auto"/>
            <w:vAlign w:val="center"/>
          </w:tcPr>
          <w:p>
            <w:pPr>
              <w:jc w:val="right"/>
              <w:rPr>
                <w:rFonts w:ascii="宋体" w:hAnsi="宋体" w:cs="宋体"/>
                <w:sz w:val="30"/>
                <w:szCs w:val="30"/>
              </w:rPr>
            </w:pPr>
            <w:r>
              <w:rPr>
                <w:sz w:val="30"/>
                <w:szCs w:val="30"/>
              </w:rPr>
              <w:t>评标方法：</w:t>
            </w:r>
          </w:p>
        </w:tc>
        <w:tc>
          <w:tcPr>
            <w:tcW w:w="0" w:type="auto"/>
            <w:vAlign w:val="center"/>
          </w:tcPr>
          <w:p>
            <w:pPr>
              <w:rPr>
                <w:rFonts w:ascii="宋体" w:hAnsi="宋体" w:cs="宋体"/>
                <w:sz w:val="30"/>
                <w:szCs w:val="30"/>
              </w:rPr>
            </w:pPr>
            <w:r>
              <w:rPr>
                <w:sz w:val="30"/>
                <w:szCs w:val="30"/>
              </w:rPr>
              <w:t>综合评分法（新价格分算法）</w:t>
            </w:r>
          </w:p>
        </w:tc>
      </w:tr>
    </w:tbl>
    <w:p>
      <w:pPr>
        <w:pStyle w:val="NormalWeb"/>
        <w:jc w:val="center"/>
        <w:outlineLvl w:val="1"/>
        <w:rPr>
          <w:rFonts w:ascii="黑体" w:eastAsia="黑体" w:hAnsi="黑体"/>
          <w:sz w:val="40"/>
          <w:szCs w:val="40"/>
        </w:rPr>
      </w:pPr>
      <w:r>
        <w:rPr>
          <w:rFonts w:ascii="黑体" w:eastAsia="黑体" w:hAnsi="黑体" w:hint="eastAsia"/>
          <w:sz w:val="40"/>
          <w:szCs w:val="40"/>
        </w:rPr>
        <w:t>资格性审查表</w:t>
      </w:r>
    </w:p>
    <w:tbl>
      <w:tblPr>
        <w:tblStyle w:val="TableNormal"/>
        <w:tblW w:w="907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20" w:type="dxa"/>
          <w:left w:w="108" w:type="dxa"/>
          <w:bottom w:w="20" w:type="dxa"/>
          <w:right w:w="108" w:type="dxa"/>
        </w:tblCellMar>
      </w:tblPr>
      <w:tblGrid>
        <w:gridCol w:w="794"/>
        <w:gridCol w:w="8278"/>
      </w:tblGrid>
      <w:tr>
        <w:tblPrEx>
          <w:tblW w:w="907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shd w:val="clear" w:color="auto" w:fill="E6EFFA"/>
            <w:vAlign w:val="center"/>
          </w:tcPr>
          <w:p>
            <w:pPr>
              <w:jc w:val="center"/>
              <w:rPr>
                <w:rFonts w:ascii="宋体" w:hAnsi="宋体" w:cs="宋体"/>
                <w:sz w:val="28"/>
                <w:szCs w:val="28"/>
              </w:rPr>
            </w:pPr>
            <w:r>
              <w:rPr>
                <w:sz w:val="28"/>
                <w:szCs w:val="28"/>
              </w:rPr>
              <w:t>序号</w:t>
            </w:r>
          </w:p>
        </w:tc>
        <w:tc>
          <w:tcPr>
            <w:tcW w:w="0" w:type="auto"/>
            <w:tcBorders>
              <w:top w:val="single" w:sz="8" w:space="0" w:color="000000"/>
              <w:left w:val="single" w:sz="8" w:space="0" w:color="000000"/>
              <w:bottom w:val="single" w:sz="8" w:space="0" w:color="000000"/>
              <w:right w:val="single" w:sz="8" w:space="0" w:color="000000"/>
            </w:tcBorders>
            <w:shd w:val="clear" w:color="auto" w:fill="E6EFFA"/>
            <w:vAlign w:val="center"/>
          </w:tcPr>
          <w:p>
            <w:pPr>
              <w:jc w:val="center"/>
              <w:rPr>
                <w:rFonts w:ascii="宋体" w:hAnsi="宋体" w:cs="宋体"/>
                <w:sz w:val="28"/>
                <w:szCs w:val="28"/>
              </w:rPr>
            </w:pPr>
            <w:r>
              <w:rPr>
                <w:sz w:val="28"/>
                <w:szCs w:val="28"/>
              </w:rPr>
              <w:t>内容</w:t>
            </w:r>
          </w:p>
        </w:tc>
      </w:tr>
      <w:tr>
        <w:tblPrEx>
          <w:tblW w:w="9072" w:type="dxa"/>
          <w:jc w:val="center"/>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jc w:val="center"/>
              <w:rPr>
                <w:rFonts w:ascii="宋体" w:hAnsi="宋体" w:cs="宋体"/>
                <w:szCs w:val="21"/>
              </w:rPr>
            </w:pPr>
            <w:r>
              <w:rPr>
                <w:szCs w:val="21"/>
              </w:rPr>
              <w:t>1</w:t>
            </w:r>
          </w:p>
        </w:tc>
        <w:tc>
          <w:tcPr>
            <w:tcW w:w="0" w:type="auto"/>
            <w:tcBorders>
              <w:top w:val="single" w:sz="8" w:space="0" w:color="000000"/>
              <w:left w:val="single" w:sz="8" w:space="0" w:color="000000"/>
              <w:bottom w:val="single" w:sz="8" w:space="0" w:color="000000"/>
              <w:right w:val="single" w:sz="8" w:space="0" w:color="000000"/>
            </w:tcBorders>
          </w:tcPr>
          <w:p>
            <w:pPr>
              <w:rPr>
                <w:rFonts w:ascii="宋体" w:hAnsi="宋体" w:cs="宋体"/>
                <w:szCs w:val="21"/>
              </w:rPr>
            </w:pPr>
            <w:r>
              <w:rPr>
                <w:szCs w:val="21"/>
              </w:rPr>
              <w:t>投标人具备招标文件所列的资格要求，</w:t>
            </w:r>
            <w:r>
              <w:rPr>
                <w:rFonts w:hint="eastAsia"/>
                <w:szCs w:val="21"/>
              </w:rPr>
              <w:t>且</w:t>
            </w:r>
            <w:r>
              <w:rPr>
                <w:szCs w:val="21"/>
              </w:rPr>
              <w:t>提交相应的资格证明资料（详见招标公告</w:t>
            </w:r>
            <w:r>
              <w:rPr>
                <w:rFonts w:ascii="宋体" w:hAnsi="宋体"/>
              </w:rPr>
              <w:t>申请人的资格要求</w:t>
            </w:r>
            <w:r>
              <w:rPr>
                <w:szCs w:val="21"/>
              </w:rPr>
              <w:t>）</w:t>
            </w:r>
          </w:p>
        </w:tc>
      </w:tr>
    </w:tbl>
    <w:p>
      <w:pPr>
        <w:pStyle w:val="NormalWeb"/>
        <w:spacing w:before="280" w:beforeAutospacing="0"/>
        <w:jc w:val="center"/>
        <w:outlineLvl w:val="1"/>
        <w:rPr>
          <w:rFonts w:ascii="黑体" w:eastAsia="黑体" w:hAnsi="黑体"/>
          <w:sz w:val="40"/>
          <w:szCs w:val="40"/>
        </w:rPr>
      </w:pPr>
      <w:r>
        <w:rPr>
          <w:rFonts w:ascii="黑体" w:eastAsia="黑体" w:hAnsi="黑体" w:hint="eastAsia"/>
          <w:sz w:val="40"/>
          <w:szCs w:val="40"/>
        </w:rPr>
        <w:t>符合性审查表</w:t>
      </w:r>
    </w:p>
    <w:tbl>
      <w:tblPr>
        <w:tblStyle w:val="TableNormal"/>
        <w:tblW w:w="907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20" w:type="dxa"/>
          <w:left w:w="108" w:type="dxa"/>
          <w:bottom w:w="20" w:type="dxa"/>
          <w:right w:w="108" w:type="dxa"/>
        </w:tblCellMar>
      </w:tblPr>
      <w:tblGrid>
        <w:gridCol w:w="794"/>
        <w:gridCol w:w="8278"/>
      </w:tblGrid>
      <w:tr>
        <w:tblPrEx>
          <w:tblW w:w="907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shd w:val="clear" w:color="auto" w:fill="E6EFFA"/>
            <w:vAlign w:val="center"/>
          </w:tcPr>
          <w:p>
            <w:pPr>
              <w:jc w:val="center"/>
              <w:rPr>
                <w:rFonts w:ascii="宋体" w:hAnsi="宋体" w:cs="宋体"/>
                <w:sz w:val="28"/>
                <w:szCs w:val="28"/>
              </w:rPr>
            </w:pPr>
            <w:r>
              <w:rPr>
                <w:rFonts w:ascii="Times New Roman" w:hAnsi="Times New Roman"/>
                <w:sz w:val="28"/>
                <w:szCs w:val="28"/>
              </w:rPr>
              <w:t>序号</w:t>
            </w:r>
          </w:p>
        </w:tc>
        <w:tc>
          <w:tcPr>
            <w:tcW w:w="0" w:type="auto"/>
            <w:tcBorders>
              <w:top w:val="single" w:sz="8" w:space="0" w:color="000000"/>
              <w:left w:val="single" w:sz="8" w:space="0" w:color="000000"/>
              <w:bottom w:val="single" w:sz="8" w:space="0" w:color="000000"/>
              <w:right w:val="single" w:sz="8" w:space="0" w:color="000000"/>
            </w:tcBorders>
            <w:shd w:val="clear" w:color="auto" w:fill="E6EFFA"/>
            <w:vAlign w:val="center"/>
          </w:tcPr>
          <w:p>
            <w:pPr>
              <w:jc w:val="center"/>
              <w:rPr>
                <w:rFonts w:ascii="宋体" w:hAnsi="宋体" w:cs="宋体"/>
                <w:sz w:val="28"/>
                <w:szCs w:val="28"/>
              </w:rPr>
            </w:pPr>
            <w:r>
              <w:rPr>
                <w:rFonts w:ascii="Times New Roman" w:hAnsi="Times New Roman"/>
                <w:sz w:val="28"/>
                <w:szCs w:val="28"/>
              </w:rPr>
              <w:t>内容</w:t>
            </w:r>
          </w:p>
        </w:tc>
      </w:tr>
      <w:tr>
        <w:tblPrEx>
          <w:tblW w:w="9072" w:type="dxa"/>
          <w:jc w:val="center"/>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jc w:val="center"/>
              <w:rPr>
                <w:rFonts w:ascii="宋体" w:hAnsi="宋体" w:cs="宋体"/>
                <w:szCs w:val="21"/>
              </w:rPr>
            </w:pPr>
            <w:r>
              <w:rPr>
                <w:rFonts w:ascii="Times New Roman" w:hAnsi="Times New Roman"/>
                <w:szCs w:val="21"/>
              </w:rPr>
              <w:t>1</w:t>
            </w:r>
          </w:p>
        </w:tc>
        <w:tc>
          <w:tcPr>
            <w:tcW w:w="0" w:type="auto"/>
            <w:tcBorders>
              <w:top w:val="single" w:sz="8" w:space="0" w:color="000000"/>
              <w:left w:val="single" w:sz="8" w:space="0" w:color="000000"/>
              <w:bottom w:val="single" w:sz="8" w:space="0" w:color="000000"/>
              <w:right w:val="single" w:sz="8" w:space="0" w:color="000000"/>
            </w:tcBorders>
          </w:tcPr>
          <w:p>
            <w:pPr>
              <w:rPr>
                <w:rFonts w:ascii="宋体" w:hAnsi="宋体" w:cs="宋体"/>
                <w:szCs w:val="21"/>
              </w:rPr>
            </w:pPr>
            <w:r>
              <w:rPr>
                <w:rFonts w:ascii="Times New Roman" w:hAnsi="Times New Roman" w:hint="eastAsia"/>
                <w:szCs w:val="21"/>
              </w:rPr>
              <w:t>未</w:t>
            </w:r>
            <w:r>
              <w:rPr>
                <w:rFonts w:ascii="Times New Roman" w:hAnsi="Times New Roman"/>
                <w:szCs w:val="21"/>
              </w:rPr>
              <w:t>将一个包或一个标段的内容拆开投标</w:t>
            </w:r>
          </w:p>
        </w:tc>
      </w:tr>
      <w:tr>
        <w:tblPrEx>
          <w:tblW w:w="9072" w:type="dxa"/>
          <w:jc w:val="center"/>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jc w:val="center"/>
              <w:rPr>
                <w:rFonts w:ascii="宋体" w:hAnsi="宋体" w:cs="宋体"/>
                <w:szCs w:val="21"/>
              </w:rPr>
            </w:pPr>
            <w:r>
              <w:rPr>
                <w:rFonts w:ascii="Times New Roman" w:hAnsi="Times New Roman"/>
                <w:szCs w:val="21"/>
              </w:rPr>
              <w:t>2</w:t>
            </w:r>
          </w:p>
        </w:tc>
        <w:tc>
          <w:tcPr>
            <w:tcW w:w="0" w:type="auto"/>
            <w:tcBorders>
              <w:top w:val="single" w:sz="8" w:space="0" w:color="000000"/>
              <w:left w:val="single" w:sz="8" w:space="0" w:color="000000"/>
              <w:bottom w:val="single" w:sz="8" w:space="0" w:color="000000"/>
              <w:right w:val="single" w:sz="8" w:space="0" w:color="000000"/>
            </w:tcBorders>
          </w:tcPr>
          <w:p>
            <w:pPr>
              <w:rPr>
                <w:rFonts w:ascii="宋体" w:hAnsi="宋体" w:cs="宋体"/>
                <w:szCs w:val="21"/>
              </w:rPr>
            </w:pPr>
            <w:r>
              <w:rPr>
                <w:rFonts w:ascii="Times New Roman" w:hAnsi="Times New Roman"/>
                <w:szCs w:val="21"/>
              </w:rPr>
              <w:t>对同一项目投标时，</w:t>
            </w:r>
            <w:r>
              <w:rPr>
                <w:rFonts w:ascii="Times New Roman" w:hAnsi="Times New Roman" w:hint="eastAsia"/>
                <w:szCs w:val="21"/>
              </w:rPr>
              <w:t>未</w:t>
            </w:r>
            <w:r>
              <w:rPr>
                <w:rFonts w:ascii="Times New Roman" w:hAnsi="Times New Roman"/>
                <w:szCs w:val="21"/>
              </w:rPr>
              <w:t>提供两套</w:t>
            </w:r>
            <w:r>
              <w:rPr>
                <w:rFonts w:ascii="Times New Roman" w:hAnsi="Times New Roman" w:hint="eastAsia"/>
                <w:szCs w:val="21"/>
              </w:rPr>
              <w:t>及</w:t>
            </w:r>
            <w:r>
              <w:rPr>
                <w:rFonts w:ascii="Times New Roman" w:hAnsi="Times New Roman"/>
                <w:szCs w:val="21"/>
              </w:rPr>
              <w:t>以上的投标方案（招标文件另有规定的除外）</w:t>
            </w:r>
          </w:p>
        </w:tc>
      </w:tr>
      <w:tr>
        <w:tblPrEx>
          <w:tblW w:w="9072" w:type="dxa"/>
          <w:jc w:val="center"/>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jc w:val="center"/>
              <w:rPr>
                <w:rFonts w:ascii="宋体" w:hAnsi="宋体" w:cs="宋体"/>
                <w:szCs w:val="21"/>
              </w:rPr>
            </w:pPr>
            <w:r>
              <w:rPr>
                <w:rFonts w:ascii="Times New Roman" w:hAnsi="Times New Roman"/>
                <w:szCs w:val="21"/>
              </w:rPr>
              <w:t>3</w:t>
            </w:r>
          </w:p>
        </w:tc>
        <w:tc>
          <w:tcPr>
            <w:tcW w:w="0" w:type="auto"/>
            <w:tcBorders>
              <w:top w:val="single" w:sz="8" w:space="0" w:color="000000"/>
              <w:left w:val="single" w:sz="8" w:space="0" w:color="000000"/>
              <w:bottom w:val="single" w:sz="8" w:space="0" w:color="000000"/>
              <w:right w:val="single" w:sz="8" w:space="0" w:color="000000"/>
            </w:tcBorders>
          </w:tcPr>
          <w:p>
            <w:pPr>
              <w:rPr>
                <w:rFonts w:ascii="宋体" w:hAnsi="宋体" w:cs="宋体"/>
                <w:szCs w:val="21"/>
              </w:rPr>
            </w:pPr>
            <w:r>
              <w:rPr>
                <w:rFonts w:ascii="Times New Roman" w:hAnsi="Times New Roman"/>
                <w:szCs w:val="21"/>
              </w:rPr>
              <w:t>分项报价或投标总价</w:t>
            </w:r>
            <w:r>
              <w:rPr>
                <w:rFonts w:ascii="Times New Roman" w:hAnsi="Times New Roman" w:hint="eastAsia"/>
                <w:szCs w:val="21"/>
              </w:rPr>
              <w:t>未超过相应</w:t>
            </w:r>
            <w:r>
              <w:rPr>
                <w:rFonts w:ascii="Times New Roman" w:hAnsi="Times New Roman"/>
                <w:szCs w:val="21"/>
              </w:rPr>
              <w:t>预算金额</w:t>
            </w:r>
            <w:r>
              <w:rPr>
                <w:rFonts w:ascii="Times New Roman" w:hAnsi="Times New Roman" w:hint="eastAsia"/>
                <w:szCs w:val="21"/>
              </w:rPr>
              <w:t>或</w:t>
            </w:r>
            <w:r>
              <w:rPr>
                <w:rFonts w:ascii="Times New Roman" w:hAnsi="Times New Roman"/>
                <w:szCs w:val="21"/>
              </w:rPr>
              <w:t>最高投标限价</w:t>
            </w:r>
          </w:p>
        </w:tc>
      </w:tr>
      <w:tr>
        <w:tblPrEx>
          <w:tblW w:w="9072" w:type="dxa"/>
          <w:jc w:val="center"/>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jc w:val="center"/>
              <w:rPr>
                <w:rFonts w:ascii="宋体" w:hAnsi="宋体" w:cs="宋体"/>
                <w:szCs w:val="21"/>
              </w:rPr>
            </w:pPr>
            <w:r>
              <w:rPr>
                <w:rFonts w:ascii="Times New Roman" w:hAnsi="Times New Roman"/>
                <w:szCs w:val="21"/>
              </w:rPr>
              <w:t>4</w:t>
            </w:r>
          </w:p>
        </w:tc>
        <w:tc>
          <w:tcPr>
            <w:tcW w:w="0" w:type="auto"/>
            <w:tcBorders>
              <w:top w:val="single" w:sz="8" w:space="0" w:color="000000"/>
              <w:left w:val="single" w:sz="8" w:space="0" w:color="000000"/>
              <w:bottom w:val="single" w:sz="8" w:space="0" w:color="000000"/>
              <w:right w:val="single" w:sz="8" w:space="0" w:color="000000"/>
            </w:tcBorders>
          </w:tcPr>
          <w:p>
            <w:pPr>
              <w:rPr>
                <w:rFonts w:ascii="宋体" w:hAnsi="宋体" w:cs="宋体"/>
                <w:szCs w:val="21"/>
              </w:rPr>
            </w:pPr>
            <w:r>
              <w:rPr>
                <w:rFonts w:ascii="Times New Roman" w:hAnsi="Times New Roman" w:hint="eastAsia"/>
                <w:szCs w:val="21"/>
              </w:rPr>
              <w:t>如评标委员会认为投标人的报价明显低于其他通过符合性审查投标人的报价，有可能影响产品质量或者不能诚信履约的，应当要求其在评标现场合理的时间内提供书面说明，必要时提交相关证明材料；投标人应证明其报价合理性（评审委员会成员对投标人提供的说明材料判断不一致的，按照“少数服从多数”的原则确定评审委员会的意见）</w:t>
            </w:r>
          </w:p>
        </w:tc>
      </w:tr>
      <w:tr>
        <w:tblPrEx>
          <w:tblW w:w="9072" w:type="dxa"/>
          <w:jc w:val="center"/>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jc w:val="center"/>
              <w:rPr>
                <w:rFonts w:ascii="宋体" w:hAnsi="宋体" w:cs="宋体"/>
                <w:szCs w:val="21"/>
              </w:rPr>
            </w:pPr>
            <w:r>
              <w:rPr>
                <w:rFonts w:ascii="Times New Roman" w:hAnsi="Times New Roman"/>
                <w:szCs w:val="21"/>
              </w:rPr>
              <w:t>5</w:t>
            </w:r>
          </w:p>
        </w:tc>
        <w:tc>
          <w:tcPr>
            <w:tcW w:w="0" w:type="auto"/>
            <w:tcBorders>
              <w:top w:val="single" w:sz="8" w:space="0" w:color="000000"/>
              <w:left w:val="single" w:sz="8" w:space="0" w:color="000000"/>
              <w:bottom w:val="single" w:sz="8" w:space="0" w:color="000000"/>
              <w:right w:val="single" w:sz="8" w:space="0" w:color="000000"/>
            </w:tcBorders>
          </w:tcPr>
          <w:p>
            <w:pPr>
              <w:rPr>
                <w:rFonts w:ascii="宋体" w:hAnsi="宋体" w:cs="宋体"/>
                <w:szCs w:val="21"/>
              </w:rPr>
            </w:pPr>
            <w:r>
              <w:rPr>
                <w:rFonts w:ascii="Times New Roman" w:hAnsi="Times New Roman"/>
                <w:szCs w:val="21"/>
              </w:rPr>
              <w:t>投标报价</w:t>
            </w:r>
            <w:r>
              <w:rPr>
                <w:rFonts w:ascii="Times New Roman" w:hAnsi="Times New Roman" w:hint="eastAsia"/>
                <w:szCs w:val="21"/>
              </w:rPr>
              <w:t>满足招标文件报价要求且无</w:t>
            </w:r>
            <w:r>
              <w:rPr>
                <w:rFonts w:ascii="Times New Roman" w:hAnsi="Times New Roman"/>
                <w:szCs w:val="21"/>
              </w:rPr>
              <w:t>缺漏项目</w:t>
            </w:r>
            <w:r>
              <w:rPr>
                <w:rFonts w:ascii="宋体" w:hAnsi="宋体" w:cs="宋体"/>
                <w:szCs w:val="21"/>
              </w:rPr>
              <w:t xml:space="preserve"> </w:t>
            </w:r>
          </w:p>
        </w:tc>
      </w:tr>
      <w:tr>
        <w:tblPrEx>
          <w:tblW w:w="9072" w:type="dxa"/>
          <w:jc w:val="center"/>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jc w:val="center"/>
              <w:rPr>
                <w:rFonts w:ascii="Times New Roman" w:hAnsi="Times New Roman"/>
                <w:szCs w:val="21"/>
              </w:rPr>
            </w:pPr>
            <w:r>
              <w:rPr>
                <w:rFonts w:ascii="Times New Roman" w:hAnsi="Times New Roman" w:hint="eastAsia"/>
                <w:szCs w:val="21"/>
              </w:rPr>
              <w:t>6</w:t>
            </w:r>
          </w:p>
        </w:tc>
        <w:tc>
          <w:tcPr>
            <w:tcW w:w="0" w:type="auto"/>
            <w:tcBorders>
              <w:top w:val="single" w:sz="8" w:space="0" w:color="000000"/>
              <w:left w:val="single" w:sz="8" w:space="0" w:color="000000"/>
              <w:bottom w:val="single" w:sz="8" w:space="0" w:color="000000"/>
              <w:right w:val="single" w:sz="8" w:space="0" w:color="000000"/>
            </w:tcBorders>
          </w:tcPr>
          <w:p>
            <w:pPr>
              <w:rPr>
                <w:rFonts w:ascii="Times New Roman" w:hAnsi="Times New Roman"/>
                <w:szCs w:val="21"/>
              </w:rPr>
            </w:pPr>
            <w:r>
              <w:rPr>
                <w:rFonts w:ascii="Times New Roman" w:hAnsi="Times New Roman" w:hint="eastAsia"/>
                <w:szCs w:val="21"/>
              </w:rPr>
              <w:t>投标文件不存在</w:t>
            </w:r>
            <w:r>
              <w:rPr>
                <w:rFonts w:hint="eastAsia"/>
              </w:rPr>
              <w:t>对招标文件规定的货物或服务或工程量清单的项目或数量进行修改，评标委员会判定投标响应不满足采购需求的情形</w:t>
            </w:r>
          </w:p>
        </w:tc>
      </w:tr>
      <w:tr>
        <w:tblPrEx>
          <w:tblW w:w="9072" w:type="dxa"/>
          <w:jc w:val="center"/>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jc w:val="center"/>
              <w:rPr>
                <w:rFonts w:ascii="宋体" w:hAnsi="宋体" w:cs="宋体"/>
                <w:szCs w:val="21"/>
              </w:rPr>
            </w:pPr>
            <w:r>
              <w:rPr>
                <w:rFonts w:ascii="Times New Roman" w:hAnsi="Times New Roman" w:hint="eastAsia"/>
                <w:szCs w:val="21"/>
              </w:rPr>
              <w:t>7</w:t>
            </w:r>
          </w:p>
        </w:tc>
        <w:tc>
          <w:tcPr>
            <w:tcW w:w="0" w:type="auto"/>
            <w:tcBorders>
              <w:top w:val="single" w:sz="8" w:space="0" w:color="000000"/>
              <w:left w:val="single" w:sz="8" w:space="0" w:color="000000"/>
              <w:bottom w:val="single" w:sz="8" w:space="0" w:color="000000"/>
              <w:right w:val="single" w:sz="8" w:space="0" w:color="000000"/>
            </w:tcBorders>
          </w:tcPr>
          <w:p>
            <w:pPr>
              <w:rPr>
                <w:rFonts w:ascii="宋体" w:hAnsi="宋体" w:cs="宋体"/>
                <w:szCs w:val="21"/>
              </w:rPr>
            </w:pPr>
            <w:r>
              <w:rPr>
                <w:rFonts w:ascii="Times New Roman" w:hAnsi="Times New Roman"/>
                <w:szCs w:val="21"/>
              </w:rPr>
              <w:t>所投产品、工程、服务在商务、技术等方面实质性满足招标文件要求（是否实质性满足招标文件要求，由评标委员会根据《</w:t>
            </w:r>
            <w:r>
              <w:rPr>
                <w:rFonts w:ascii="Times New Roman" w:hAnsi="Times New Roman" w:hint="eastAsia"/>
                <w:szCs w:val="21"/>
              </w:rPr>
              <w:t>实质性条款响应情况表</w:t>
            </w:r>
            <w:r>
              <w:rPr>
                <w:rFonts w:ascii="Times New Roman" w:hAnsi="Times New Roman"/>
                <w:szCs w:val="21"/>
              </w:rPr>
              <w:t>》做出评判）</w:t>
            </w:r>
          </w:p>
        </w:tc>
      </w:tr>
      <w:tr>
        <w:tblPrEx>
          <w:tblW w:w="9072" w:type="dxa"/>
          <w:jc w:val="center"/>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jc w:val="center"/>
              <w:rPr>
                <w:rFonts w:ascii="宋体" w:hAnsi="宋体" w:cs="宋体"/>
                <w:szCs w:val="21"/>
              </w:rPr>
            </w:pPr>
            <w:r>
              <w:rPr>
                <w:rFonts w:ascii="Times New Roman" w:hAnsi="Times New Roman" w:hint="eastAsia"/>
                <w:szCs w:val="21"/>
              </w:rPr>
              <w:t>8</w:t>
            </w:r>
          </w:p>
        </w:tc>
        <w:tc>
          <w:tcPr>
            <w:tcW w:w="0" w:type="auto"/>
            <w:tcBorders>
              <w:top w:val="single" w:sz="8" w:space="0" w:color="000000"/>
              <w:left w:val="single" w:sz="8" w:space="0" w:color="000000"/>
              <w:bottom w:val="single" w:sz="8" w:space="0" w:color="000000"/>
              <w:right w:val="single" w:sz="8" w:space="0" w:color="000000"/>
            </w:tcBorders>
          </w:tcPr>
          <w:p>
            <w:pPr>
              <w:rPr>
                <w:rFonts w:ascii="宋体" w:hAnsi="宋体" w:cs="宋体"/>
                <w:szCs w:val="21"/>
              </w:rPr>
            </w:pPr>
            <w:r>
              <w:rPr>
                <w:rFonts w:ascii="Times New Roman" w:hAnsi="Times New Roman"/>
                <w:szCs w:val="21"/>
              </w:rPr>
              <w:t>按招标文件所提供的样式填写《投标函》；按招标文件所提供的《政府采购投标及履约承诺函》进行承诺；</w:t>
            </w:r>
            <w:r>
              <w:rPr>
                <w:rFonts w:ascii="Times New Roman" w:hAnsi="Times New Roman" w:hint="eastAsia"/>
                <w:szCs w:val="21"/>
              </w:rPr>
              <w:t>并</w:t>
            </w:r>
            <w:r>
              <w:rPr>
                <w:rFonts w:ascii="Times New Roman" w:hAnsi="Times New Roman"/>
                <w:szCs w:val="21"/>
              </w:rPr>
              <w:t>按招标文件对投标文件组成的要求提供投标文件（投标文件组成完整）</w:t>
            </w:r>
          </w:p>
        </w:tc>
      </w:tr>
      <w:tr>
        <w:tblPrEx>
          <w:tblW w:w="9072" w:type="dxa"/>
          <w:jc w:val="center"/>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jc w:val="center"/>
              <w:rPr>
                <w:rFonts w:ascii="宋体" w:hAnsi="宋体" w:cs="宋体"/>
                <w:szCs w:val="21"/>
              </w:rPr>
            </w:pPr>
            <w:r>
              <w:rPr>
                <w:rFonts w:ascii="Times New Roman" w:hAnsi="Times New Roman" w:hint="eastAsia"/>
                <w:szCs w:val="21"/>
              </w:rPr>
              <w:t>9</w:t>
            </w:r>
          </w:p>
        </w:tc>
        <w:tc>
          <w:tcPr>
            <w:tcW w:w="0" w:type="auto"/>
            <w:tcBorders>
              <w:top w:val="single" w:sz="8" w:space="0" w:color="000000"/>
              <w:left w:val="single" w:sz="8" w:space="0" w:color="000000"/>
              <w:bottom w:val="single" w:sz="8" w:space="0" w:color="000000"/>
              <w:right w:val="single" w:sz="8" w:space="0" w:color="000000"/>
            </w:tcBorders>
          </w:tcPr>
          <w:p>
            <w:pPr>
              <w:rPr>
                <w:rFonts w:ascii="宋体" w:hAnsi="宋体" w:cs="宋体"/>
                <w:szCs w:val="21"/>
              </w:rPr>
            </w:pPr>
            <w:r>
              <w:rPr>
                <w:rFonts w:ascii="Times New Roman" w:hAnsi="Times New Roman" w:hint="eastAsia"/>
                <w:szCs w:val="21"/>
              </w:rPr>
              <w:t>投标文件不存在列放位置错误，导致属于信息公开内容没有被公开的情形</w:t>
            </w:r>
          </w:p>
        </w:tc>
      </w:tr>
      <w:tr>
        <w:tblPrEx>
          <w:tblW w:w="9072" w:type="dxa"/>
          <w:jc w:val="center"/>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jc w:val="center"/>
              <w:rPr>
                <w:rFonts w:ascii="宋体" w:hAnsi="宋体" w:cs="宋体"/>
                <w:szCs w:val="21"/>
              </w:rPr>
            </w:pPr>
            <w:r>
              <w:rPr>
                <w:rFonts w:ascii="Times New Roman" w:hAnsi="Times New Roman" w:hint="eastAsia"/>
                <w:szCs w:val="21"/>
              </w:rPr>
              <w:t>10</w:t>
            </w:r>
          </w:p>
        </w:tc>
        <w:tc>
          <w:tcPr>
            <w:tcW w:w="0" w:type="auto"/>
            <w:tcBorders>
              <w:top w:val="single" w:sz="8" w:space="0" w:color="000000"/>
              <w:left w:val="single" w:sz="8" w:space="0" w:color="000000"/>
              <w:bottom w:val="single" w:sz="8" w:space="0" w:color="000000"/>
              <w:right w:val="single" w:sz="8" w:space="0" w:color="000000"/>
            </w:tcBorders>
          </w:tcPr>
          <w:p>
            <w:pPr>
              <w:rPr>
                <w:rFonts w:ascii="宋体" w:hAnsi="宋体" w:cs="宋体"/>
                <w:szCs w:val="21"/>
              </w:rPr>
            </w:pPr>
            <w:r>
              <w:rPr>
                <w:szCs w:val="21"/>
              </w:rPr>
              <w:t>投标文件</w:t>
            </w:r>
            <w:r>
              <w:rPr>
                <w:rFonts w:hint="eastAsia"/>
                <w:szCs w:val="21"/>
              </w:rPr>
              <w:t>不存在</w:t>
            </w:r>
            <w:r>
              <w:rPr>
                <w:szCs w:val="21"/>
              </w:rPr>
              <w:t>电子文档带病毒</w:t>
            </w:r>
            <w:r>
              <w:rPr>
                <w:rFonts w:hint="eastAsia"/>
                <w:szCs w:val="21"/>
              </w:rPr>
              <w:t>或使</w:t>
            </w:r>
            <w:r>
              <w:rPr>
                <w:szCs w:val="21"/>
              </w:rPr>
              <w:t>用</w:t>
            </w:r>
            <w:r>
              <w:rPr>
                <w:rFonts w:hint="eastAsia"/>
                <w:szCs w:val="21"/>
              </w:rPr>
              <w:t>其他投标人</w:t>
            </w:r>
            <w:r>
              <w:rPr>
                <w:szCs w:val="21"/>
              </w:rPr>
              <w:t>的电子密钥</w:t>
            </w:r>
            <w:r>
              <w:rPr>
                <w:rFonts w:hint="eastAsia"/>
              </w:rPr>
              <w:t>或电子营业执照</w:t>
            </w:r>
            <w:r>
              <w:rPr>
                <w:szCs w:val="21"/>
              </w:rPr>
              <w:t>进行加密</w:t>
            </w:r>
            <w:r>
              <w:rPr>
                <w:rFonts w:hint="eastAsia"/>
                <w:szCs w:val="21"/>
              </w:rPr>
              <w:t>的情形</w:t>
            </w:r>
          </w:p>
        </w:tc>
      </w:tr>
      <w:tr>
        <w:tblPrEx>
          <w:tblW w:w="9072" w:type="dxa"/>
          <w:jc w:val="center"/>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jc w:val="center"/>
              <w:rPr>
                <w:rFonts w:ascii="宋体" w:hAnsi="宋体" w:cs="宋体"/>
                <w:szCs w:val="21"/>
              </w:rPr>
            </w:pPr>
            <w:r>
              <w:rPr>
                <w:rFonts w:ascii="Times New Roman" w:hAnsi="Times New Roman" w:hint="eastAsia"/>
                <w:szCs w:val="21"/>
              </w:rPr>
              <w:t>11</w:t>
            </w:r>
          </w:p>
        </w:tc>
        <w:tc>
          <w:tcPr>
            <w:tcW w:w="0" w:type="auto"/>
            <w:tcBorders>
              <w:top w:val="single" w:sz="8" w:space="0" w:color="000000"/>
              <w:left w:val="single" w:sz="8" w:space="0" w:color="000000"/>
              <w:bottom w:val="single" w:sz="8" w:space="0" w:color="000000"/>
              <w:right w:val="single" w:sz="8" w:space="0" w:color="000000"/>
            </w:tcBorders>
          </w:tcPr>
          <w:p>
            <w:pPr>
              <w:rPr>
                <w:rFonts w:asciiTheme="minorEastAsia" w:eastAsiaTheme="minorEastAsia" w:hAnsiTheme="minorEastAsia" w:cs="宋体"/>
                <w:szCs w:val="21"/>
              </w:rPr>
            </w:pPr>
            <w:r>
              <w:rPr>
                <w:rFonts w:asciiTheme="minorEastAsia" w:eastAsiaTheme="minorEastAsia" w:hAnsiTheme="minorEastAsia"/>
              </w:rPr>
              <w:t>不同投标</w:t>
            </w:r>
            <w:r>
              <w:rPr>
                <w:rFonts w:asciiTheme="minorEastAsia" w:eastAsiaTheme="minorEastAsia" w:hAnsiTheme="minorEastAsia" w:hint="eastAsia"/>
              </w:rPr>
              <w:t>人的</w:t>
            </w:r>
            <w:r>
              <w:rPr>
                <w:rFonts w:asciiTheme="minorEastAsia" w:eastAsiaTheme="minorEastAsia" w:hAnsiTheme="minorEastAsia"/>
              </w:rPr>
              <w:t>投标文件</w:t>
            </w:r>
            <w:r>
              <w:rPr>
                <w:rFonts w:asciiTheme="minorEastAsia" w:eastAsiaTheme="minorEastAsia" w:hAnsiTheme="minorEastAsia" w:hint="eastAsia"/>
              </w:rPr>
              <w:t>不存在</w:t>
            </w:r>
            <w:r>
              <w:rPr>
                <w:rFonts w:asciiTheme="minorEastAsia" w:eastAsiaTheme="minorEastAsia" w:hAnsiTheme="minorEastAsia"/>
              </w:rPr>
              <w:t>“文件制作机器码”一致</w:t>
            </w:r>
            <w:r>
              <w:rPr>
                <w:rFonts w:asciiTheme="minorEastAsia" w:eastAsiaTheme="minorEastAsia" w:hAnsiTheme="minorEastAsia" w:hint="eastAsia"/>
              </w:rPr>
              <w:t>或</w:t>
            </w:r>
            <w:r>
              <w:rPr>
                <w:rFonts w:ascii="Times New Roman" w:hAnsi="Times New Roman" w:hint="eastAsia"/>
                <w:szCs w:val="24"/>
              </w:rPr>
              <w:t>“文件创建标识码”一致的情形</w:t>
            </w:r>
          </w:p>
        </w:tc>
      </w:tr>
      <w:tr>
        <w:tblPrEx>
          <w:tblW w:w="9072" w:type="dxa"/>
          <w:jc w:val="center"/>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jc w:val="center"/>
              <w:rPr>
                <w:rFonts w:ascii="宋体" w:hAnsi="宋体" w:cs="宋体"/>
                <w:szCs w:val="21"/>
              </w:rPr>
            </w:pPr>
            <w:r>
              <w:rPr>
                <w:rFonts w:ascii="Times New Roman" w:hAnsi="Times New Roman" w:hint="eastAsia"/>
                <w:szCs w:val="21"/>
              </w:rPr>
              <w:t>12</w:t>
            </w:r>
          </w:p>
        </w:tc>
        <w:tc>
          <w:tcPr>
            <w:tcW w:w="0" w:type="auto"/>
            <w:tcBorders>
              <w:top w:val="single" w:sz="8" w:space="0" w:color="000000"/>
              <w:left w:val="single" w:sz="8" w:space="0" w:color="000000"/>
              <w:bottom w:val="single" w:sz="8" w:space="0" w:color="000000"/>
              <w:right w:val="single" w:sz="8" w:space="0" w:color="000000"/>
            </w:tcBorders>
          </w:tcPr>
          <w:p>
            <w:pPr>
              <w:rPr>
                <w:rFonts w:ascii="宋体" w:hAnsi="宋体" w:cs="宋体"/>
                <w:szCs w:val="21"/>
              </w:rPr>
            </w:pPr>
            <w:r>
              <w:rPr>
                <w:rFonts w:ascii="Times New Roman" w:hAnsi="Times New Roman" w:hint="eastAsia"/>
                <w:szCs w:val="24"/>
              </w:rPr>
              <w:t>法律、法规、规章、规范性文件规定的其他情形</w:t>
            </w:r>
          </w:p>
        </w:tc>
      </w:tr>
    </w:tbl>
    <w:p>
      <w:pPr>
        <w:spacing w:line="324" w:lineRule="auto"/>
        <w:ind w:firstLine="420"/>
        <w:rPr>
          <w:rFonts w:ascii="Times New Roman" w:hAnsi="Times New Roman"/>
          <w:b/>
          <w:color w:val="FF0000"/>
          <w:szCs w:val="21"/>
        </w:rPr>
      </w:pPr>
      <w:r>
        <w:rPr>
          <w:rFonts w:ascii="Times New Roman" w:hAnsi="Times New Roman" w:hint="eastAsia"/>
          <w:b/>
          <w:color w:val="FF0000"/>
          <w:szCs w:val="21"/>
        </w:rPr>
        <w:t>特别说明：</w:t>
      </w:r>
    </w:p>
    <w:p>
      <w:pPr>
        <w:spacing w:line="324" w:lineRule="auto"/>
        <w:ind w:firstLine="420"/>
        <w:rPr>
          <w:rFonts w:asciiTheme="minorEastAsia" w:eastAsiaTheme="minorEastAsia" w:hAnsiTheme="minorEastAsia"/>
          <w:b/>
          <w:color w:val="FF0000"/>
          <w:szCs w:val="21"/>
        </w:rPr>
      </w:pPr>
      <w:r>
        <w:rPr>
          <w:rFonts w:asciiTheme="minorEastAsia" w:eastAsiaTheme="minorEastAsia" w:hAnsiTheme="minorEastAsia" w:hint="eastAsia"/>
          <w:b/>
          <w:color w:val="FF0000"/>
          <w:szCs w:val="21"/>
        </w:rPr>
        <w:t>1、投标人须在开标当日的开标时间至解密截止时间内完成投标文件在线解密，逾期未解密的作无效处理。</w:t>
      </w:r>
    </w:p>
    <w:p>
      <w:pPr>
        <w:spacing w:line="324" w:lineRule="auto"/>
        <w:ind w:firstLine="420"/>
        <w:rPr>
          <w:rFonts w:asciiTheme="minorEastAsia" w:eastAsiaTheme="minorEastAsia" w:hAnsiTheme="minorEastAsia"/>
          <w:b/>
          <w:color w:val="FF0000"/>
          <w:szCs w:val="21"/>
        </w:rPr>
      </w:pPr>
      <w:r>
        <w:rPr>
          <w:rFonts w:asciiTheme="minorEastAsia" w:eastAsiaTheme="minorEastAsia" w:hAnsiTheme="minorEastAsia" w:hint="eastAsia"/>
          <w:b/>
          <w:color w:val="FF0000"/>
          <w:szCs w:val="21"/>
        </w:rPr>
        <w:t>2、投标人不符合《资格性审查表》或《符合性审查表》中任一情形的，初审不通过，投标无效。</w:t>
      </w:r>
    </w:p>
    <w:p>
      <w:pPr>
        <w:spacing w:line="324" w:lineRule="auto"/>
        <w:ind w:firstLine="420"/>
        <w:rPr>
          <w:rFonts w:asciiTheme="minorEastAsia" w:eastAsiaTheme="minorEastAsia" w:hAnsiTheme="minorEastAsia"/>
          <w:b/>
          <w:color w:val="FF0000"/>
          <w:szCs w:val="21"/>
        </w:rPr>
      </w:pPr>
    </w:p>
    <w:p>
      <w:pPr>
        <w:pStyle w:val="NormalWeb"/>
        <w:jc w:val="center"/>
        <w:outlineLvl w:val="1"/>
        <w:rPr>
          <w:rFonts w:ascii="黑体" w:eastAsia="黑体" w:hAnsi="黑体"/>
          <w:sz w:val="40"/>
          <w:szCs w:val="40"/>
        </w:rPr>
      </w:pPr>
      <w:r>
        <w:rPr>
          <w:rFonts w:ascii="黑体" w:eastAsia="黑体" w:hAnsi="黑体" w:hint="eastAsia"/>
          <w:sz w:val="40"/>
          <w:szCs w:val="40"/>
        </w:rPr>
        <w:t>评标信息</w:t>
      </w:r>
    </w:p>
    <w:tbl>
      <w:tblPr>
        <w:tblStyle w:val="TableNormal"/>
        <w:tblW w:w="9072" w:type="dxa"/>
        <w:jc w:val="center"/>
        <w:tblCellSpacing w:w="0" w:type="dxa"/>
        <w:tblCellMar>
          <w:top w:w="45" w:type="dxa"/>
          <w:left w:w="45" w:type="dxa"/>
          <w:bottom w:w="45" w:type="dxa"/>
          <w:right w:w="45" w:type="dxa"/>
        </w:tblCellMar>
      </w:tblPr>
      <w:tblGrid>
        <w:gridCol w:w="8824"/>
        <w:gridCol w:w="248"/>
      </w:tblGrid>
      <w:tr>
        <w:tblPrEx>
          <w:tblW w:w="9072" w:type="dxa"/>
          <w:jc w:val="center"/>
          <w:tblCellSpacing w:w="0" w:type="dxa"/>
          <w:tblCellMar>
            <w:top w:w="45" w:type="dxa"/>
            <w:left w:w="45" w:type="dxa"/>
            <w:bottom w:w="45" w:type="dxa"/>
            <w:right w:w="45" w:type="dxa"/>
          </w:tblCellMar>
        </w:tblPrEx>
        <w:trPr>
          <w:tblCellSpacing w:w="0" w:type="dxa"/>
          <w:jc w:val="center"/>
        </w:trPr>
        <w:tc>
          <w:tcPr>
            <w:tcW w:w="0" w:type="auto"/>
            <w:tcBorders>
              <w:top w:val="nil"/>
              <w:left w:val="nil"/>
              <w:bottom w:val="nil"/>
              <w:right w:val="nil"/>
            </w:tcBorders>
            <w:vAlign w:val="center"/>
          </w:tcPr>
          <w:p>
            <w:pPr>
              <w:rPr>
                <w:rFonts w:ascii="宋体" w:hAnsi="宋体" w:cs="宋体"/>
                <w:b/>
                <w:bCs/>
                <w:sz w:val="24"/>
                <w:szCs w:val="24"/>
              </w:rPr>
            </w:pPr>
            <w:r>
              <w:rPr>
                <w:b/>
                <w:bCs/>
              </w:rPr>
              <w:t>评标方法：综合评分法（新价格分算法）</w:t>
            </w:r>
          </w:p>
        </w:tc>
        <w:tc>
          <w:tcPr>
            <w:tcW w:w="0" w:type="auto"/>
            <w:tcBorders>
              <w:top w:val="nil"/>
              <w:left w:val="nil"/>
              <w:bottom w:val="nil"/>
              <w:right w:val="nil"/>
            </w:tcBorders>
            <w:vAlign w:val="center"/>
          </w:tcPr>
          <w:p>
            <w:pPr>
              <w:jc w:val="right"/>
              <w:rPr>
                <w:rFonts w:ascii="宋体" w:hAnsi="宋体" w:cs="宋体"/>
                <w:b/>
                <w:bCs/>
                <w:sz w:val="24"/>
                <w:szCs w:val="24"/>
              </w:rPr>
            </w:pPr>
          </w:p>
        </w:tc>
      </w:tr>
      <w:tr>
        <w:tblPrEx>
          <w:tblW w:w="9072" w:type="dxa"/>
          <w:jc w:val="center"/>
          <w:tblCellSpacing w:w="0" w:type="dxa"/>
          <w:tblCellMar>
            <w:top w:w="45" w:type="dxa"/>
            <w:left w:w="45" w:type="dxa"/>
            <w:bottom w:w="45" w:type="dxa"/>
            <w:right w:w="45" w:type="dxa"/>
          </w:tblCellMar>
        </w:tblPrEx>
        <w:trPr>
          <w:tblCellSpacing w:w="0" w:type="dxa"/>
          <w:jc w:val="center"/>
        </w:trPr>
        <w:tc>
          <w:tcPr>
            <w:tcW w:w="0" w:type="auto"/>
            <w:gridSpan w:val="2"/>
            <w:tcBorders>
              <w:top w:val="nil"/>
              <w:left w:val="nil"/>
              <w:bottom w:val="nil"/>
              <w:right w:val="nil"/>
            </w:tcBorders>
            <w:vAlign w:val="center"/>
          </w:tcPr>
          <w:p>
            <w:pPr>
              <w:pStyle w:val="NormalWeb"/>
              <w:spacing w:line="324" w:lineRule="auto"/>
              <w:ind w:firstLine="420"/>
              <w:rPr>
                <w:sz w:val="21"/>
                <w:szCs w:val="21"/>
              </w:rPr>
            </w:pPr>
            <w:r>
              <w:rPr>
                <w:sz w:val="21"/>
                <w:szCs w:val="21"/>
              </w:rPr>
              <w:t>综合评分法，是指</w:t>
            </w:r>
            <w:r>
              <w:rPr>
                <w:rFonts w:hint="eastAsia"/>
                <w:sz w:val="21"/>
                <w:szCs w:val="21"/>
              </w:rPr>
              <w:t>在最大限度地满足招标文件实质性要求的前提下，按照招标文件中规定的各项因素进行综合评审，评标总得分排名前列的投标人，作为推荐的候选中标供应商</w:t>
            </w:r>
            <w:r>
              <w:rPr>
                <w:sz w:val="21"/>
                <w:szCs w:val="21"/>
              </w:rPr>
              <w:t xml:space="preserve">。 </w:t>
            </w:r>
          </w:p>
          <w:p>
            <w:pPr>
              <w:pStyle w:val="NormalWeb"/>
              <w:ind w:firstLine="420"/>
              <w:rPr>
                <w:sz w:val="21"/>
                <w:szCs w:val="21"/>
              </w:rPr>
            </w:pPr>
            <w:r>
              <w:rPr>
                <w:sz w:val="21"/>
                <w:szCs w:val="21"/>
              </w:rPr>
              <w:t>价格分计算方法：</w:t>
            </w:r>
          </w:p>
          <w:p>
            <w:pPr>
              <w:pStyle w:val="NormalWeb"/>
              <w:spacing w:line="324" w:lineRule="auto"/>
              <w:ind w:left="420"/>
              <w:rPr>
                <w:sz w:val="21"/>
                <w:szCs w:val="21"/>
              </w:rPr>
            </w:pPr>
            <w:r>
              <w:rPr>
                <w:sz w:val="21"/>
                <w:szCs w:val="21"/>
              </w:rPr>
              <w:t xml:space="preserve">采用低价优先法计算，即满足招标文件要求且投标价格最低的投标报价为评标基准价，其价格分为满分。其他投标人的价格分统一按照下列公式计算： </w:t>
            </w:r>
            <w:r>
              <w:rPr>
                <w:sz w:val="21"/>
                <w:szCs w:val="21"/>
              </w:rPr>
              <w:br/>
            </w:r>
            <w:r>
              <w:rPr>
                <w:sz w:val="21"/>
                <w:szCs w:val="21"/>
              </w:rPr>
              <w:t xml:space="preserve">投标报价得分=(评标基准价／投标报价)×100 </w:t>
            </w:r>
            <w:r>
              <w:rPr>
                <w:sz w:val="21"/>
                <w:szCs w:val="21"/>
              </w:rPr>
              <w:br/>
            </w:r>
            <w:r>
              <w:rPr>
                <w:sz w:val="21"/>
                <w:szCs w:val="21"/>
              </w:rPr>
              <w:t xml:space="preserve">评标总得分＝F1×A1＋F2×A2＋……＋Fn×An </w:t>
            </w:r>
            <w:r>
              <w:rPr>
                <w:sz w:val="21"/>
                <w:szCs w:val="21"/>
              </w:rPr>
              <w:br/>
            </w:r>
            <w:r>
              <w:rPr>
                <w:sz w:val="21"/>
                <w:szCs w:val="21"/>
              </w:rPr>
              <w:t xml:space="preserve">F1、F2……Fn分别为各项评审因素的得分； </w:t>
            </w:r>
            <w:r>
              <w:rPr>
                <w:sz w:val="21"/>
                <w:szCs w:val="21"/>
              </w:rPr>
              <w:br/>
            </w:r>
            <w:r>
              <w:rPr>
                <w:sz w:val="21"/>
                <w:szCs w:val="21"/>
              </w:rPr>
              <w:t xml:space="preserve">A1、A2、……An 分别为各项评审因素所占的权重(A1＋A2＋……＋An＝1)。 </w:t>
            </w:r>
            <w:r>
              <w:rPr>
                <w:sz w:val="21"/>
                <w:szCs w:val="21"/>
              </w:rPr>
              <w:br/>
            </w:r>
            <w:r>
              <w:rPr>
                <w:sz w:val="21"/>
                <w:szCs w:val="21"/>
              </w:rPr>
              <w:t xml:space="preserve">评标过程中，不得去掉报价中的最高报价和最低报价。 </w:t>
            </w:r>
            <w:r>
              <w:rPr>
                <w:sz w:val="21"/>
                <w:szCs w:val="21"/>
              </w:rPr>
              <w:br/>
            </w:r>
            <w:r>
              <w:rPr>
                <w:rFonts w:hint="eastAsia"/>
                <w:sz w:val="21"/>
                <w:szCs w:val="21"/>
              </w:rPr>
              <w:t>因落实政府采购政策进行价格调整的，以调整后的价格计算评标基准价和投标报价</w:t>
            </w:r>
            <w:r>
              <w:rPr>
                <w:sz w:val="21"/>
                <w:szCs w:val="21"/>
              </w:rPr>
              <w:t xml:space="preserve">。 </w:t>
            </w:r>
          </w:p>
        </w:tc>
      </w:tr>
    </w:tbl>
    <w:p>
      <w:pPr>
        <w:rPr>
          <w:vanish/>
        </w:rPr>
      </w:pPr>
    </w:p>
    <w:tbl>
      <w:tblPr>
        <w:tblStyle w:val="TableNormal"/>
        <w:tblW w:w="963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20" w:type="dxa"/>
          <w:left w:w="108" w:type="dxa"/>
          <w:bottom w:w="20" w:type="dxa"/>
          <w:right w:w="108" w:type="dxa"/>
        </w:tblCellMar>
      </w:tblPr>
      <w:tblGrid>
        <w:gridCol w:w="680"/>
        <w:gridCol w:w="680"/>
        <w:gridCol w:w="2835"/>
        <w:gridCol w:w="681"/>
        <w:gridCol w:w="4763"/>
      </w:tblGrid>
      <w:tr>
        <w:tblPrEx>
          <w:tblW w:w="963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20" w:type="dxa"/>
            <w:left w:w="108" w:type="dxa"/>
            <w:bottom w:w="20" w:type="dxa"/>
            <w:right w:w="108" w:type="dxa"/>
          </w:tblCellMar>
        </w:tblPrEx>
        <w:trPr>
          <w:jc w:val="center"/>
        </w:trPr>
        <w:tc>
          <w:tcPr>
            <w:tcW w:w="680" w:type="dxa"/>
            <w:tcBorders>
              <w:top w:val="single" w:sz="8" w:space="0" w:color="000000"/>
              <w:left w:val="single" w:sz="8" w:space="0" w:color="000000"/>
              <w:bottom w:val="single" w:sz="8" w:space="0" w:color="000000"/>
              <w:right w:val="single" w:sz="8" w:space="0" w:color="000000"/>
            </w:tcBorders>
            <w:shd w:val="clear" w:color="auto" w:fill="E6EFFA"/>
            <w:vAlign w:val="center"/>
          </w:tcPr>
          <w:p>
            <w:pPr>
              <w:spacing w:line="360" w:lineRule="exact"/>
              <w:jc w:val="center"/>
              <w:rPr>
                <w:rFonts w:asciiTheme="minorEastAsia" w:eastAsiaTheme="minorEastAsia" w:hAnsiTheme="minorEastAsia" w:cs="宋体"/>
                <w:b/>
                <w:bCs/>
                <w:sz w:val="24"/>
                <w:szCs w:val="24"/>
              </w:rPr>
            </w:pPr>
            <w:r>
              <w:rPr>
                <w:rFonts w:asciiTheme="minorEastAsia" w:eastAsiaTheme="minorEastAsia" w:hAnsiTheme="minorEastAsia"/>
                <w:b/>
                <w:bCs/>
              </w:rPr>
              <w:t>序号</w:t>
            </w:r>
          </w:p>
        </w:tc>
        <w:tc>
          <w:tcPr>
            <w:tcW w:w="4196" w:type="dxa"/>
            <w:gridSpan w:val="3"/>
            <w:tcBorders>
              <w:top w:val="single" w:sz="8" w:space="0" w:color="000000"/>
              <w:left w:val="single" w:sz="8" w:space="0" w:color="000000"/>
              <w:bottom w:val="single" w:sz="8" w:space="0" w:color="000000"/>
              <w:right w:val="single" w:sz="8" w:space="0" w:color="000000"/>
            </w:tcBorders>
            <w:shd w:val="clear" w:color="auto" w:fill="E6EFFA"/>
            <w:vAlign w:val="center"/>
          </w:tcPr>
          <w:p>
            <w:pPr>
              <w:spacing w:line="360" w:lineRule="exact"/>
              <w:jc w:val="center"/>
              <w:rPr>
                <w:rFonts w:asciiTheme="minorEastAsia" w:eastAsiaTheme="minorEastAsia" w:hAnsiTheme="minorEastAsia" w:cs="宋体"/>
                <w:b/>
                <w:bCs/>
                <w:sz w:val="24"/>
                <w:szCs w:val="24"/>
              </w:rPr>
            </w:pPr>
            <w:r>
              <w:rPr>
                <w:rFonts w:asciiTheme="minorEastAsia" w:eastAsiaTheme="minorEastAsia" w:hAnsiTheme="minorEastAsia"/>
                <w:b/>
                <w:bCs/>
              </w:rPr>
              <w:t>评分项</w:t>
            </w:r>
          </w:p>
        </w:tc>
        <w:tc>
          <w:tcPr>
            <w:tcW w:w="4763" w:type="dxa"/>
            <w:tcBorders>
              <w:top w:val="single" w:sz="8" w:space="0" w:color="000000"/>
              <w:left w:val="single" w:sz="8" w:space="0" w:color="000000"/>
              <w:bottom w:val="single" w:sz="8" w:space="0" w:color="000000"/>
              <w:right w:val="single" w:sz="8" w:space="0" w:color="000000"/>
            </w:tcBorders>
            <w:shd w:val="clear" w:color="auto" w:fill="E6EFFA"/>
            <w:vAlign w:val="center"/>
          </w:tcPr>
          <w:p>
            <w:pPr>
              <w:spacing w:line="360" w:lineRule="exact"/>
              <w:jc w:val="center"/>
              <w:rPr>
                <w:rFonts w:asciiTheme="minorEastAsia" w:eastAsiaTheme="minorEastAsia" w:hAnsiTheme="minorEastAsia" w:cs="宋体"/>
                <w:b/>
                <w:bCs/>
                <w:sz w:val="24"/>
                <w:szCs w:val="24"/>
              </w:rPr>
            </w:pPr>
            <w:r>
              <w:rPr>
                <w:rFonts w:asciiTheme="minorEastAsia" w:eastAsiaTheme="minorEastAsia" w:hAnsiTheme="minorEastAsia"/>
                <w:b/>
                <w:bCs/>
              </w:rPr>
              <w:t>权重(%)</w:t>
            </w:r>
          </w:p>
        </w:tc>
      </w:tr>
      <w:tr>
        <w:tblPrEx>
          <w:tblW w:w="9639" w:type="dxa"/>
          <w:jc w:val="center"/>
          <w:tblCellMar>
            <w:top w:w="20" w:type="dxa"/>
            <w:left w:w="108" w:type="dxa"/>
            <w:bottom w:w="20" w:type="dxa"/>
            <w:right w:w="108" w:type="dxa"/>
          </w:tblCellMar>
        </w:tblPrEx>
        <w:trPr>
          <w:jc w:val="center"/>
        </w:trPr>
        <w:tc>
          <w:tcPr>
            <w:tcW w:w="680" w:type="dxa"/>
            <w:tcBorders>
              <w:top w:val="single" w:sz="8" w:space="0" w:color="000000"/>
              <w:left w:val="single" w:sz="8" w:space="0" w:color="000000"/>
              <w:right w:val="single" w:sz="8" w:space="0" w:color="000000"/>
            </w:tcBorders>
          </w:tcPr>
          <w:p>
            <w:pPr>
              <w:spacing w:line="360" w:lineRule="exact"/>
              <w:jc w:val="center"/>
              <w:rPr>
                <w:rFonts w:asciiTheme="minorEastAsia" w:eastAsiaTheme="minorEastAsia" w:hAnsiTheme="minorEastAsia" w:cs="宋体"/>
                <w:b/>
                <w:bCs/>
                <w:color w:val="0000FF"/>
                <w:sz w:val="24"/>
                <w:szCs w:val="24"/>
              </w:rPr>
            </w:pPr>
            <w:r>
              <w:rPr>
                <w:rFonts w:asciiTheme="minorEastAsia" w:eastAsiaTheme="minorEastAsia" w:hAnsiTheme="minorEastAsia"/>
                <w:b/>
                <w:bCs/>
                <w:color w:val="0000FF"/>
              </w:rPr>
              <w:t>1</w:t>
            </w:r>
          </w:p>
        </w:tc>
        <w:tc>
          <w:tcPr>
            <w:tcW w:w="4196" w:type="dxa"/>
            <w:gridSpan w:val="3"/>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b/>
                <w:bCs/>
                <w:color w:val="0000FF"/>
                <w:sz w:val="24"/>
                <w:szCs w:val="24"/>
              </w:rPr>
            </w:pPr>
            <w:r>
              <w:rPr>
                <w:rFonts w:asciiTheme="minorEastAsia" w:eastAsiaTheme="minorEastAsia" w:hAnsiTheme="minorEastAsia"/>
                <w:b/>
                <w:bCs/>
                <w:color w:val="0000FF"/>
              </w:rPr>
              <w:t>价格</w:t>
            </w:r>
          </w:p>
        </w:tc>
        <w:tc>
          <w:tcPr>
            <w:tcW w:w="4763"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b/>
                <w:bCs/>
                <w:color w:val="0000FF"/>
                <w:sz w:val="24"/>
                <w:szCs w:val="24"/>
              </w:rPr>
            </w:pPr>
            <w:r>
              <w:rPr>
                <w:rFonts w:asciiTheme="minorEastAsia" w:eastAsiaTheme="minorEastAsia" w:hAnsiTheme="minorEastAsia" w:hint="eastAsia"/>
                <w:b/>
                <w:bCs/>
                <w:color w:val="0000FF"/>
              </w:rPr>
              <w:t>10</w:t>
            </w:r>
          </w:p>
        </w:tc>
      </w:tr>
      <w:tr>
        <w:tblPrEx>
          <w:tblW w:w="9639" w:type="dxa"/>
          <w:jc w:val="center"/>
          <w:tblCellMar>
            <w:top w:w="20" w:type="dxa"/>
            <w:left w:w="108" w:type="dxa"/>
            <w:bottom w:w="20" w:type="dxa"/>
            <w:right w:w="108" w:type="dxa"/>
          </w:tblCellMar>
        </w:tblPrEx>
        <w:trPr>
          <w:jc w:val="center"/>
        </w:trPr>
        <w:tc>
          <w:tcPr>
            <w:tcW w:w="680" w:type="dxa"/>
            <w:vMerge w:val="restart"/>
            <w:tcBorders>
              <w:top w:val="single" w:sz="8" w:space="0" w:color="000000"/>
              <w:left w:val="single" w:sz="8" w:space="0" w:color="000000"/>
              <w:right w:val="single" w:sz="8" w:space="0" w:color="000000"/>
            </w:tcBorders>
          </w:tcPr>
          <w:p>
            <w:pPr>
              <w:spacing w:line="360" w:lineRule="exact"/>
              <w:jc w:val="center"/>
              <w:rPr>
                <w:rFonts w:asciiTheme="minorEastAsia" w:eastAsiaTheme="minorEastAsia" w:hAnsiTheme="minorEastAsia" w:cs="宋体"/>
                <w:b/>
                <w:bCs/>
                <w:color w:val="0000FF"/>
                <w:sz w:val="24"/>
                <w:szCs w:val="24"/>
              </w:rPr>
            </w:pPr>
            <w:r>
              <w:rPr>
                <w:rFonts w:asciiTheme="minorEastAsia" w:eastAsiaTheme="minorEastAsia" w:hAnsiTheme="minorEastAsia"/>
                <w:b/>
                <w:bCs/>
                <w:color w:val="0000FF"/>
              </w:rPr>
              <w:t>2</w:t>
            </w:r>
          </w:p>
        </w:tc>
        <w:tc>
          <w:tcPr>
            <w:tcW w:w="4196" w:type="dxa"/>
            <w:gridSpan w:val="3"/>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b/>
                <w:bCs/>
                <w:color w:val="0000FF"/>
                <w:sz w:val="24"/>
                <w:szCs w:val="24"/>
              </w:rPr>
            </w:pPr>
            <w:r>
              <w:rPr>
                <w:rFonts w:asciiTheme="minorEastAsia" w:eastAsiaTheme="minorEastAsia" w:hAnsiTheme="minorEastAsia"/>
                <w:b/>
                <w:bCs/>
                <w:color w:val="0000FF"/>
              </w:rPr>
              <w:t>技术</w:t>
            </w:r>
          </w:p>
        </w:tc>
        <w:tc>
          <w:tcPr>
            <w:tcW w:w="4763"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b/>
                <w:bCs/>
                <w:color w:val="0000FF"/>
                <w:sz w:val="24"/>
                <w:szCs w:val="24"/>
              </w:rPr>
            </w:pPr>
            <w:r>
              <w:rPr>
                <w:rFonts w:asciiTheme="minorEastAsia" w:eastAsiaTheme="minorEastAsia" w:hAnsiTheme="minorEastAsia" w:hint="eastAsia"/>
                <w:b/>
                <w:bCs/>
                <w:color w:val="0000FF"/>
                <w:lang w:val="en-US" w:eastAsia="zh-CN"/>
              </w:rPr>
              <w:t>6</w:t>
            </w:r>
            <w:r>
              <w:rPr>
                <w:rFonts w:asciiTheme="minorEastAsia" w:eastAsiaTheme="minorEastAsia" w:hAnsiTheme="minorEastAsia" w:hint="eastAsia"/>
                <w:b/>
                <w:bCs/>
                <w:color w:val="0000FF"/>
              </w:rPr>
              <w:t>5</w:t>
            </w:r>
          </w:p>
        </w:tc>
      </w:tr>
      <w:tr>
        <w:tblPrEx>
          <w:tblW w:w="9639" w:type="dxa"/>
          <w:jc w:val="center"/>
          <w:tblCellMar>
            <w:top w:w="20" w:type="dxa"/>
            <w:left w:w="108" w:type="dxa"/>
            <w:bottom w:w="20" w:type="dxa"/>
            <w:right w:w="108" w:type="dxa"/>
          </w:tblCellMar>
        </w:tblPrEx>
        <w:trPr>
          <w:jc w:val="center"/>
        </w:trPr>
        <w:tc>
          <w:tcPr>
            <w:tcW w:w="0" w:type="auto"/>
            <w:vMerge/>
            <w:tcBorders>
              <w:left w:val="single" w:sz="8" w:space="0" w:color="000000"/>
              <w:right w:val="single" w:sz="8" w:space="0" w:color="000000"/>
            </w:tcBorders>
            <w:vAlign w:val="center"/>
          </w:tcPr>
          <w:p>
            <w:pPr>
              <w:spacing w:line="360" w:lineRule="exact"/>
              <w:rPr>
                <w:rFonts w:asciiTheme="minorEastAsia" w:eastAsiaTheme="minorEastAsia" w:hAnsiTheme="minorEastAsia" w:cs="宋体"/>
                <w:b/>
                <w:bCs/>
                <w:color w:val="0000FF"/>
                <w:sz w:val="24"/>
                <w:szCs w:val="24"/>
              </w:rPr>
            </w:pPr>
          </w:p>
        </w:tc>
        <w:tc>
          <w:tcPr>
            <w:tcW w:w="680" w:type="dxa"/>
            <w:tcBorders>
              <w:top w:val="outset" w:sz="6" w:space="0" w:color="000000"/>
              <w:left w:val="outset" w:sz="6" w:space="0" w:color="000000"/>
              <w:bottom w:val="outset" w:sz="6" w:space="0" w:color="000000"/>
              <w:right w:val="outset" w:sz="6" w:space="0" w:color="000000"/>
            </w:tcBorders>
            <w:shd w:val="clear" w:color="auto" w:fill="E6EFFA"/>
            <w:vAlign w:val="center"/>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序号</w:t>
            </w:r>
          </w:p>
        </w:tc>
        <w:tc>
          <w:tcPr>
            <w:tcW w:w="2835" w:type="dxa"/>
            <w:tcBorders>
              <w:top w:val="outset" w:sz="6" w:space="0" w:color="000000"/>
              <w:left w:val="outset" w:sz="6" w:space="0" w:color="000000"/>
              <w:bottom w:val="outset" w:sz="6" w:space="0" w:color="000000"/>
              <w:right w:val="outset" w:sz="6" w:space="0" w:color="000000"/>
            </w:tcBorders>
            <w:shd w:val="clear" w:color="auto" w:fill="E6EFFA"/>
            <w:vAlign w:val="center"/>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评分因素</w:t>
            </w:r>
          </w:p>
        </w:tc>
        <w:tc>
          <w:tcPr>
            <w:tcW w:w="681" w:type="dxa"/>
            <w:tcBorders>
              <w:top w:val="outset" w:sz="6" w:space="0" w:color="000000"/>
              <w:left w:val="outset" w:sz="6" w:space="0" w:color="000000"/>
              <w:bottom w:val="outset" w:sz="6" w:space="0" w:color="000000"/>
              <w:right w:val="outset" w:sz="6" w:space="0" w:color="000000"/>
            </w:tcBorders>
            <w:shd w:val="clear" w:color="auto" w:fill="E6EFFA"/>
            <w:vAlign w:val="center"/>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权重(%)</w:t>
            </w:r>
          </w:p>
        </w:tc>
        <w:tc>
          <w:tcPr>
            <w:tcW w:w="4763" w:type="dxa"/>
            <w:tcBorders>
              <w:top w:val="outset" w:sz="6" w:space="0" w:color="000000"/>
              <w:left w:val="outset" w:sz="6" w:space="0" w:color="000000"/>
              <w:bottom w:val="outset" w:sz="6" w:space="0" w:color="000000"/>
              <w:right w:val="outset" w:sz="6" w:space="0" w:color="000000"/>
            </w:tcBorders>
            <w:shd w:val="clear" w:color="auto" w:fill="E6EFFA"/>
            <w:vAlign w:val="center"/>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评分准则</w:t>
            </w:r>
          </w:p>
        </w:tc>
      </w:tr>
      <w:tr>
        <w:tblPrEx>
          <w:tblW w:w="9639" w:type="dxa"/>
          <w:jc w:val="center"/>
          <w:tblCellMar>
            <w:top w:w="20" w:type="dxa"/>
            <w:left w:w="108" w:type="dxa"/>
            <w:bottom w:w="20" w:type="dxa"/>
            <w:right w:w="108" w:type="dxa"/>
          </w:tblCellMar>
        </w:tblPrEx>
        <w:trPr>
          <w:jc w:val="center"/>
        </w:trPr>
        <w:tc>
          <w:tcPr>
            <w:tcW w:w="0" w:type="auto"/>
            <w:vMerge/>
            <w:tcBorders>
              <w:left w:val="single" w:sz="8" w:space="0" w:color="000000"/>
              <w:right w:val="single" w:sz="8" w:space="0" w:color="000000"/>
            </w:tcBorders>
            <w:vAlign w:val="center"/>
          </w:tcPr>
          <w:p>
            <w:pPr>
              <w:spacing w:line="360" w:lineRule="exact"/>
              <w:rPr>
                <w:rFonts w:asciiTheme="minorEastAsia" w:eastAsiaTheme="minorEastAsia" w:hAnsiTheme="minorEastAsia" w:cs="宋体"/>
                <w:b/>
                <w:bCs/>
                <w:color w:val="0000FF"/>
                <w:sz w:val="24"/>
                <w:szCs w:val="24"/>
              </w:rPr>
            </w:pPr>
          </w:p>
        </w:tc>
        <w:tc>
          <w:tcPr>
            <w:tcW w:w="680"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1</w:t>
            </w:r>
          </w:p>
        </w:tc>
        <w:tc>
          <w:tcPr>
            <w:tcW w:w="2835"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cs="宋体"/>
                <w:szCs w:val="21"/>
              </w:rPr>
            </w:pPr>
            <w:r>
              <w:rPr>
                <w:rFonts w:asciiTheme="minorEastAsia" w:eastAsiaTheme="minorEastAsia" w:hAnsiTheme="minorEastAsia" w:cs="宋体" w:hint="eastAsia"/>
                <w:szCs w:val="21"/>
              </w:rPr>
              <w:t>实施方案情况</w:t>
            </w:r>
          </w:p>
        </w:tc>
        <w:tc>
          <w:tcPr>
            <w:tcW w:w="681"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cs="宋体" w:hint="eastAsia"/>
                <w:szCs w:val="21"/>
              </w:rPr>
              <w:t>10</w:t>
            </w:r>
          </w:p>
        </w:tc>
        <w:tc>
          <w:tcPr>
            <w:tcW w:w="4763" w:type="dxa"/>
            <w:tcBorders>
              <w:top w:val="single" w:sz="8" w:space="0" w:color="000000"/>
              <w:left w:val="single" w:sz="8" w:space="0" w:color="000000"/>
              <w:bottom w:val="single" w:sz="8" w:space="0" w:color="000000"/>
              <w:right w:val="single" w:sz="8" w:space="0" w:color="000000"/>
            </w:tcBorders>
          </w:tcPr>
          <w:p>
            <w:pPr>
              <w:autoSpaceDE w:val="0"/>
              <w:autoSpaceDN w:val="0"/>
              <w:adjustRightInd w:val="0"/>
              <w:spacing w:line="360" w:lineRule="exact"/>
              <w:rPr>
                <w:rFonts w:asciiTheme="minorEastAsia" w:eastAsiaTheme="minorEastAsia" w:hAnsiTheme="minorEastAsia" w:hint="eastAsia"/>
                <w:kern w:val="0"/>
                <w:szCs w:val="21"/>
              </w:rPr>
            </w:pPr>
            <w:r>
              <w:rPr>
                <w:rFonts w:asciiTheme="minorEastAsia" w:eastAsiaTheme="minorEastAsia" w:hAnsiTheme="minorEastAsia" w:hint="eastAsia"/>
                <w:kern w:val="0"/>
                <w:szCs w:val="21"/>
                <w:lang w:val="en-US" w:eastAsia="zh-CN"/>
              </w:rPr>
              <w:t>一、</w:t>
            </w:r>
            <w:r>
              <w:rPr>
                <w:rFonts w:asciiTheme="minorEastAsia" w:eastAsiaTheme="minorEastAsia" w:hAnsiTheme="minorEastAsia" w:hint="eastAsia"/>
                <w:kern w:val="0"/>
                <w:szCs w:val="21"/>
              </w:rPr>
              <w:t>评审内容：</w:t>
            </w:r>
          </w:p>
          <w:p>
            <w:pPr>
              <w:autoSpaceDE w:val="0"/>
              <w:autoSpaceDN w:val="0"/>
              <w:adjustRightInd w:val="0"/>
              <w:spacing w:line="360" w:lineRule="exact"/>
              <w:rPr>
                <w:rFonts w:asciiTheme="minorEastAsia" w:eastAsiaTheme="minorEastAsia" w:hAnsiTheme="minorEastAsia" w:hint="eastAsia"/>
                <w:kern w:val="0"/>
                <w:szCs w:val="21"/>
              </w:rPr>
            </w:pPr>
            <w:r>
              <w:rPr>
                <w:rFonts w:asciiTheme="minorEastAsia" w:eastAsiaTheme="minorEastAsia" w:hAnsiTheme="minorEastAsia" w:hint="eastAsia"/>
                <w:kern w:val="0"/>
                <w:szCs w:val="21"/>
              </w:rPr>
              <w:t>投标人根据项目实际情况及本项目工作目标，制定本项目的具体实施方案，内容包含：</w:t>
            </w:r>
          </w:p>
          <w:p>
            <w:pPr>
              <w:autoSpaceDE w:val="0"/>
              <w:autoSpaceDN w:val="0"/>
              <w:adjustRightInd w:val="0"/>
              <w:spacing w:line="360" w:lineRule="exact"/>
              <w:rPr>
                <w:rFonts w:asciiTheme="minorEastAsia" w:eastAsiaTheme="minorEastAsia" w:hAnsiTheme="minorEastAsia" w:hint="eastAsia"/>
                <w:kern w:val="0"/>
                <w:szCs w:val="21"/>
                <w:lang w:val="en-US" w:eastAsia="zh-CN"/>
              </w:rPr>
            </w:pPr>
            <w:r>
              <w:rPr>
                <w:rFonts w:asciiTheme="minorEastAsia" w:eastAsiaTheme="minorEastAsia" w:hAnsiTheme="minorEastAsia" w:hint="eastAsia"/>
                <w:kern w:val="0"/>
                <w:szCs w:val="21"/>
                <w:lang w:val="en-US" w:eastAsia="zh-CN"/>
              </w:rPr>
              <w:t>1.</w:t>
            </w:r>
            <w:r>
              <w:rPr>
                <w:rFonts w:asciiTheme="minorEastAsia" w:eastAsiaTheme="minorEastAsia" w:hAnsiTheme="minorEastAsia" w:hint="eastAsia"/>
                <w:kern w:val="0"/>
                <w:szCs w:val="21"/>
              </w:rPr>
              <w:t>工作</w:t>
            </w:r>
            <w:r>
              <w:rPr>
                <w:rFonts w:asciiTheme="minorEastAsia" w:eastAsiaTheme="minorEastAsia" w:hAnsiTheme="minorEastAsia" w:hint="eastAsia"/>
                <w:kern w:val="0"/>
                <w:szCs w:val="21"/>
                <w:lang w:val="en-US" w:eastAsia="zh-CN"/>
              </w:rPr>
              <w:t>思路；</w:t>
            </w:r>
          </w:p>
          <w:p>
            <w:pPr>
              <w:autoSpaceDE w:val="0"/>
              <w:autoSpaceDN w:val="0"/>
              <w:adjustRightInd w:val="0"/>
              <w:spacing w:line="360" w:lineRule="exact"/>
              <w:rPr>
                <w:rFonts w:asciiTheme="minorEastAsia" w:eastAsiaTheme="minorEastAsia" w:hAnsiTheme="minorEastAsia" w:hint="eastAsia"/>
                <w:kern w:val="0"/>
                <w:szCs w:val="21"/>
              </w:rPr>
            </w:pPr>
            <w:r>
              <w:rPr>
                <w:rFonts w:asciiTheme="minorEastAsia" w:eastAsiaTheme="minorEastAsia" w:hAnsiTheme="minorEastAsia" w:hint="eastAsia"/>
                <w:kern w:val="0"/>
                <w:szCs w:val="21"/>
                <w:lang w:val="en-US" w:eastAsia="zh-CN"/>
              </w:rPr>
              <w:t>2.工作流程；</w:t>
            </w:r>
          </w:p>
          <w:p>
            <w:pPr>
              <w:autoSpaceDE w:val="0"/>
              <w:autoSpaceDN w:val="0"/>
              <w:adjustRightInd w:val="0"/>
              <w:spacing w:line="360" w:lineRule="exact"/>
              <w:rPr>
                <w:rFonts w:asciiTheme="minorEastAsia" w:eastAsiaTheme="minorEastAsia" w:hAnsiTheme="minorEastAsia" w:hint="eastAsia"/>
                <w:kern w:val="0"/>
                <w:szCs w:val="21"/>
              </w:rPr>
            </w:pPr>
            <w:r>
              <w:rPr>
                <w:rFonts w:asciiTheme="minorEastAsia" w:eastAsiaTheme="minorEastAsia" w:hAnsiTheme="minorEastAsia" w:hint="eastAsia"/>
                <w:kern w:val="0"/>
                <w:szCs w:val="21"/>
                <w:lang w:val="en-US" w:eastAsia="zh-CN"/>
              </w:rPr>
              <w:t>3.工作方法</w:t>
            </w:r>
            <w:r>
              <w:rPr>
                <w:rFonts w:asciiTheme="minorEastAsia" w:eastAsiaTheme="minorEastAsia" w:hAnsiTheme="minorEastAsia" w:hint="eastAsia"/>
                <w:kern w:val="0"/>
                <w:szCs w:val="21"/>
              </w:rPr>
              <w:t>；</w:t>
            </w:r>
          </w:p>
          <w:p>
            <w:pPr>
              <w:autoSpaceDE w:val="0"/>
              <w:autoSpaceDN w:val="0"/>
              <w:adjustRightInd w:val="0"/>
              <w:spacing w:line="360" w:lineRule="exact"/>
              <w:rPr>
                <w:rFonts w:asciiTheme="minorEastAsia" w:eastAsiaTheme="minorEastAsia" w:hAnsiTheme="minorEastAsia" w:hint="eastAsia"/>
                <w:kern w:val="0"/>
                <w:szCs w:val="21"/>
              </w:rPr>
            </w:pPr>
            <w:r>
              <w:rPr>
                <w:rFonts w:asciiTheme="minorEastAsia" w:eastAsiaTheme="minorEastAsia" w:hAnsiTheme="minorEastAsia" w:hint="eastAsia"/>
                <w:kern w:val="0"/>
                <w:szCs w:val="21"/>
                <w:lang w:val="en-US" w:eastAsia="zh-CN"/>
              </w:rPr>
              <w:t>4.应急措施</w:t>
            </w:r>
            <w:r>
              <w:rPr>
                <w:rFonts w:asciiTheme="minorEastAsia" w:eastAsiaTheme="minorEastAsia" w:hAnsiTheme="minorEastAsia" w:hint="eastAsia"/>
                <w:kern w:val="0"/>
                <w:szCs w:val="21"/>
              </w:rPr>
              <w:t>。</w:t>
            </w:r>
          </w:p>
          <w:p>
            <w:pPr>
              <w:autoSpaceDE w:val="0"/>
              <w:autoSpaceDN w:val="0"/>
              <w:adjustRightInd w:val="0"/>
              <w:spacing w:line="360" w:lineRule="exact"/>
              <w:rPr>
                <w:rFonts w:asciiTheme="minorEastAsia" w:eastAsiaTheme="minorEastAsia" w:hAnsiTheme="minorEastAsia" w:hint="eastAsia"/>
                <w:kern w:val="0"/>
                <w:szCs w:val="21"/>
              </w:rPr>
            </w:pPr>
            <w:r>
              <w:rPr>
                <w:rFonts w:asciiTheme="minorEastAsia" w:eastAsiaTheme="minorEastAsia" w:hAnsiTheme="minorEastAsia" w:hint="eastAsia"/>
                <w:kern w:val="0"/>
                <w:szCs w:val="21"/>
                <w:lang w:val="en-US" w:eastAsia="zh-CN"/>
              </w:rPr>
              <w:t>二</w:t>
            </w:r>
            <w:r>
              <w:rPr>
                <w:rFonts w:asciiTheme="minorEastAsia" w:eastAsiaTheme="minorEastAsia" w:hAnsiTheme="minorEastAsia" w:hint="eastAsia"/>
                <w:kern w:val="0"/>
                <w:szCs w:val="21"/>
              </w:rPr>
              <w:t>、评分标准：</w:t>
            </w:r>
          </w:p>
          <w:p>
            <w:pPr>
              <w:autoSpaceDE w:val="0"/>
              <w:autoSpaceDN w:val="0"/>
              <w:adjustRightInd w:val="0"/>
              <w:spacing w:line="360" w:lineRule="exact"/>
              <w:rPr>
                <w:rFonts w:asciiTheme="minorEastAsia" w:eastAsiaTheme="minorEastAsia" w:hAnsiTheme="minorEastAsia" w:hint="eastAsia"/>
                <w:kern w:val="0"/>
                <w:szCs w:val="21"/>
              </w:rPr>
            </w:pPr>
            <w:r>
              <w:rPr>
                <w:rFonts w:asciiTheme="minorEastAsia" w:eastAsiaTheme="minorEastAsia" w:hAnsiTheme="minorEastAsia" w:hint="eastAsia"/>
                <w:kern w:val="0"/>
                <w:szCs w:val="21"/>
              </w:rPr>
              <w:t>1、方案中每包含上述1项的得</w:t>
            </w:r>
            <w:r>
              <w:rPr>
                <w:rFonts w:asciiTheme="minorEastAsia" w:eastAsiaTheme="minorEastAsia" w:hAnsiTheme="minorEastAsia" w:hint="eastAsia"/>
                <w:kern w:val="0"/>
                <w:szCs w:val="21"/>
                <w:lang w:val="en-US" w:eastAsia="zh-CN"/>
              </w:rPr>
              <w:t>2</w:t>
            </w:r>
            <w:r>
              <w:rPr>
                <w:rFonts w:asciiTheme="minorEastAsia" w:eastAsiaTheme="minorEastAsia" w:hAnsiTheme="minorEastAsia" w:hint="eastAsia"/>
                <w:kern w:val="0"/>
                <w:szCs w:val="21"/>
              </w:rPr>
              <w:t>0</w:t>
            </w:r>
            <w:r>
              <w:rPr>
                <w:rFonts w:asciiTheme="minorEastAsia" w:eastAsiaTheme="minorEastAsia" w:hAnsiTheme="minorEastAsia" w:hint="eastAsia"/>
                <w:kern w:val="0"/>
                <w:szCs w:val="21"/>
                <w:lang w:val="en-US" w:eastAsia="zh-CN"/>
              </w:rPr>
              <w:t>分</w:t>
            </w:r>
            <w:r>
              <w:rPr>
                <w:rFonts w:asciiTheme="minorEastAsia" w:eastAsiaTheme="minorEastAsia" w:hAnsiTheme="minorEastAsia" w:hint="eastAsia"/>
                <w:kern w:val="0"/>
                <w:szCs w:val="21"/>
              </w:rPr>
              <w:t>，4项全部包含的得</w:t>
            </w:r>
            <w:r>
              <w:rPr>
                <w:rFonts w:asciiTheme="minorEastAsia" w:eastAsiaTheme="minorEastAsia" w:hAnsiTheme="minorEastAsia" w:hint="eastAsia"/>
                <w:kern w:val="0"/>
                <w:szCs w:val="21"/>
                <w:lang w:val="en-US" w:eastAsia="zh-CN"/>
              </w:rPr>
              <w:t>8</w:t>
            </w:r>
            <w:r>
              <w:rPr>
                <w:rFonts w:asciiTheme="minorEastAsia" w:eastAsiaTheme="minorEastAsia" w:hAnsiTheme="minorEastAsia" w:hint="eastAsia"/>
                <w:kern w:val="0"/>
                <w:szCs w:val="21"/>
              </w:rPr>
              <w:t>0</w:t>
            </w:r>
            <w:r>
              <w:rPr>
                <w:rFonts w:asciiTheme="minorEastAsia" w:eastAsiaTheme="minorEastAsia" w:hAnsiTheme="minorEastAsia" w:hint="eastAsia"/>
                <w:kern w:val="0"/>
                <w:szCs w:val="21"/>
                <w:lang w:val="en-US" w:eastAsia="zh-CN"/>
              </w:rPr>
              <w:t>分</w:t>
            </w:r>
            <w:r>
              <w:rPr>
                <w:rFonts w:asciiTheme="minorEastAsia" w:eastAsiaTheme="minorEastAsia" w:hAnsiTheme="minorEastAsia" w:hint="eastAsia"/>
                <w:kern w:val="0"/>
                <w:szCs w:val="21"/>
              </w:rPr>
              <w:t>。</w:t>
            </w:r>
          </w:p>
          <w:p>
            <w:pPr>
              <w:autoSpaceDE w:val="0"/>
              <w:autoSpaceDN w:val="0"/>
              <w:adjustRightInd w:val="0"/>
              <w:spacing w:line="360" w:lineRule="exact"/>
              <w:rPr>
                <w:rFonts w:asciiTheme="minorEastAsia" w:eastAsiaTheme="minorEastAsia" w:hAnsiTheme="minorEastAsia" w:hint="eastAsia"/>
                <w:kern w:val="0"/>
                <w:szCs w:val="21"/>
              </w:rPr>
            </w:pPr>
            <w:r>
              <w:rPr>
                <w:rFonts w:asciiTheme="minorEastAsia" w:eastAsiaTheme="minorEastAsia" w:hAnsiTheme="minorEastAsia" w:hint="eastAsia"/>
                <w:kern w:val="0"/>
                <w:szCs w:val="21"/>
              </w:rPr>
              <w:t>2、在第1点基础上，专家根据各供应商的具体响应内容进一步评审：</w:t>
            </w:r>
          </w:p>
          <w:p>
            <w:pPr>
              <w:autoSpaceDE w:val="0"/>
              <w:autoSpaceDN w:val="0"/>
              <w:adjustRightInd w:val="0"/>
              <w:spacing w:line="360" w:lineRule="exact"/>
              <w:rPr>
                <w:rFonts w:asciiTheme="minorEastAsia" w:eastAsiaTheme="minorEastAsia" w:hAnsiTheme="minorEastAsia" w:hint="eastAsia"/>
                <w:kern w:val="0"/>
                <w:szCs w:val="21"/>
              </w:rPr>
            </w:pPr>
            <w:r>
              <w:rPr>
                <w:rFonts w:asciiTheme="minorEastAsia" w:eastAsiaTheme="minorEastAsia" w:hAnsiTheme="minorEastAsia" w:hint="eastAsia"/>
                <w:kern w:val="0"/>
                <w:szCs w:val="21"/>
              </w:rPr>
              <w:t>（1）优：实施方案完整覆盖采购人的要求；工作方法科学合理，完全符合技术标准要求；项目实施方案内容针对性强，能针对服务需求内容提出细化措施；项目实施方案内容可操作性强的，</w:t>
            </w:r>
            <w:r>
              <w:rPr>
                <w:rFonts w:asciiTheme="minorEastAsia" w:eastAsiaTheme="minorEastAsia" w:hAnsiTheme="minorEastAsia" w:hint="eastAsia"/>
                <w:kern w:val="0"/>
                <w:szCs w:val="21"/>
                <w:lang w:val="en-US" w:eastAsia="zh-CN"/>
              </w:rPr>
              <w:t>加2</w:t>
            </w:r>
            <w:r>
              <w:rPr>
                <w:rFonts w:asciiTheme="minorEastAsia" w:eastAsiaTheme="minorEastAsia" w:hAnsiTheme="minorEastAsia" w:hint="eastAsia"/>
                <w:kern w:val="0"/>
                <w:szCs w:val="21"/>
              </w:rPr>
              <w:t>0</w:t>
            </w:r>
            <w:r>
              <w:rPr>
                <w:rFonts w:asciiTheme="minorEastAsia" w:eastAsiaTheme="minorEastAsia" w:hAnsiTheme="minorEastAsia" w:hint="eastAsia"/>
                <w:kern w:val="0"/>
                <w:szCs w:val="21"/>
                <w:lang w:val="en-US" w:eastAsia="zh-CN"/>
              </w:rPr>
              <w:t>分</w:t>
            </w:r>
            <w:r>
              <w:rPr>
                <w:rFonts w:asciiTheme="minorEastAsia" w:eastAsiaTheme="minorEastAsia" w:hAnsiTheme="minorEastAsia" w:hint="eastAsia"/>
                <w:kern w:val="0"/>
                <w:szCs w:val="21"/>
              </w:rPr>
              <w:t>；</w:t>
            </w:r>
          </w:p>
          <w:p>
            <w:pPr>
              <w:autoSpaceDE w:val="0"/>
              <w:autoSpaceDN w:val="0"/>
              <w:adjustRightInd w:val="0"/>
              <w:spacing w:line="360" w:lineRule="exact"/>
              <w:rPr>
                <w:rFonts w:asciiTheme="minorEastAsia" w:eastAsiaTheme="minorEastAsia" w:hAnsiTheme="minorEastAsia" w:hint="eastAsia"/>
                <w:kern w:val="0"/>
                <w:szCs w:val="21"/>
              </w:rPr>
            </w:pPr>
            <w:r>
              <w:rPr>
                <w:rFonts w:asciiTheme="minorEastAsia" w:eastAsiaTheme="minorEastAsia" w:hAnsiTheme="minorEastAsia" w:hint="eastAsia"/>
                <w:kern w:val="0"/>
                <w:szCs w:val="21"/>
              </w:rPr>
              <w:t>（2）良：实施方案完整覆盖采购人的要求；工作方法比较科学合理，基本符合技术标准要求；项目实施方案内容针对性较强；项目实施方案内容可操作性较强的，</w:t>
            </w:r>
            <w:r>
              <w:rPr>
                <w:rFonts w:asciiTheme="minorEastAsia" w:eastAsiaTheme="minorEastAsia" w:hAnsiTheme="minorEastAsia" w:hint="eastAsia"/>
                <w:kern w:val="0"/>
                <w:szCs w:val="21"/>
                <w:lang w:val="en-US" w:eastAsia="zh-CN"/>
              </w:rPr>
              <w:t>加1</w:t>
            </w:r>
            <w:r>
              <w:rPr>
                <w:rFonts w:asciiTheme="minorEastAsia" w:eastAsiaTheme="minorEastAsia" w:hAnsiTheme="minorEastAsia" w:hint="eastAsia"/>
                <w:kern w:val="0"/>
                <w:szCs w:val="21"/>
              </w:rPr>
              <w:t>0</w:t>
            </w:r>
            <w:r>
              <w:rPr>
                <w:rFonts w:asciiTheme="minorEastAsia" w:eastAsiaTheme="minorEastAsia" w:hAnsiTheme="minorEastAsia" w:hint="eastAsia"/>
                <w:kern w:val="0"/>
                <w:szCs w:val="21"/>
                <w:lang w:val="en-US" w:eastAsia="zh-CN"/>
              </w:rPr>
              <w:t>分</w:t>
            </w:r>
            <w:r>
              <w:rPr>
                <w:rFonts w:asciiTheme="minorEastAsia" w:eastAsiaTheme="minorEastAsia" w:hAnsiTheme="minorEastAsia" w:hint="eastAsia"/>
                <w:kern w:val="0"/>
                <w:szCs w:val="21"/>
              </w:rPr>
              <w:t>；</w:t>
            </w:r>
          </w:p>
          <w:p>
            <w:pPr>
              <w:autoSpaceDE w:val="0"/>
              <w:autoSpaceDN w:val="0"/>
              <w:adjustRightInd w:val="0"/>
              <w:spacing w:line="360" w:lineRule="exact"/>
              <w:rPr>
                <w:rFonts w:asciiTheme="minorEastAsia" w:eastAsiaTheme="minorEastAsia" w:hAnsiTheme="minorEastAsia" w:hint="eastAsia"/>
                <w:kern w:val="0"/>
                <w:szCs w:val="21"/>
              </w:rPr>
            </w:pPr>
            <w:r>
              <w:rPr>
                <w:rFonts w:asciiTheme="minorEastAsia" w:eastAsiaTheme="minorEastAsia" w:hAnsiTheme="minorEastAsia" w:hint="eastAsia"/>
                <w:kern w:val="0"/>
                <w:szCs w:val="21"/>
              </w:rPr>
              <w:t>（3）中：工作方法基本合理；项目实施方案内容针对性不强；项目实施方案内容比较有针对性的，</w:t>
            </w:r>
            <w:r>
              <w:rPr>
                <w:rFonts w:asciiTheme="minorEastAsia" w:eastAsiaTheme="minorEastAsia" w:hAnsiTheme="minorEastAsia" w:hint="eastAsia"/>
                <w:kern w:val="0"/>
                <w:szCs w:val="21"/>
                <w:lang w:val="en-US" w:eastAsia="zh-CN"/>
              </w:rPr>
              <w:t>加5分</w:t>
            </w:r>
            <w:r>
              <w:rPr>
                <w:rFonts w:asciiTheme="minorEastAsia" w:eastAsiaTheme="minorEastAsia" w:hAnsiTheme="minorEastAsia" w:hint="eastAsia"/>
                <w:kern w:val="0"/>
                <w:szCs w:val="21"/>
              </w:rPr>
              <w:t>；</w:t>
            </w:r>
          </w:p>
          <w:p>
            <w:pPr>
              <w:autoSpaceDE w:val="0"/>
              <w:autoSpaceDN w:val="0"/>
              <w:adjustRightInd w:val="0"/>
              <w:spacing w:line="360" w:lineRule="exact"/>
              <w:rPr>
                <w:rFonts w:asciiTheme="minorEastAsia" w:eastAsiaTheme="minorEastAsia" w:hAnsiTheme="minorEastAsia" w:cs="宋体"/>
                <w:szCs w:val="21"/>
              </w:rPr>
            </w:pPr>
            <w:r>
              <w:rPr>
                <w:rFonts w:asciiTheme="minorEastAsia" w:eastAsiaTheme="minorEastAsia" w:hAnsiTheme="minorEastAsia" w:hint="eastAsia"/>
                <w:kern w:val="0"/>
                <w:szCs w:val="21"/>
              </w:rPr>
              <w:t>（4）差：工作方法不太合理，不符合技术标准要求，实施方案不具有针对性，没有可操作性的，不</w:t>
            </w:r>
            <w:r>
              <w:rPr>
                <w:rFonts w:asciiTheme="minorEastAsia" w:eastAsiaTheme="minorEastAsia" w:hAnsiTheme="minorEastAsia" w:hint="eastAsia"/>
                <w:kern w:val="0"/>
                <w:szCs w:val="21"/>
                <w:lang w:val="en-US" w:eastAsia="zh-CN"/>
              </w:rPr>
              <w:t>加</w:t>
            </w:r>
            <w:r>
              <w:rPr>
                <w:rFonts w:asciiTheme="minorEastAsia" w:eastAsiaTheme="minorEastAsia" w:hAnsiTheme="minorEastAsia" w:hint="eastAsia"/>
                <w:kern w:val="0"/>
                <w:szCs w:val="21"/>
              </w:rPr>
              <w:t>分。</w:t>
            </w:r>
          </w:p>
        </w:tc>
      </w:tr>
      <w:tr>
        <w:tblPrEx>
          <w:tblW w:w="9639" w:type="dxa"/>
          <w:jc w:val="center"/>
          <w:tblCellMar>
            <w:top w:w="20" w:type="dxa"/>
            <w:left w:w="108" w:type="dxa"/>
            <w:bottom w:w="20" w:type="dxa"/>
            <w:right w:w="108" w:type="dxa"/>
          </w:tblCellMar>
        </w:tblPrEx>
        <w:trPr>
          <w:jc w:val="center"/>
        </w:trPr>
        <w:tc>
          <w:tcPr>
            <w:tcW w:w="0" w:type="auto"/>
            <w:vMerge/>
            <w:tcBorders>
              <w:left w:val="single" w:sz="8" w:space="0" w:color="000000"/>
              <w:right w:val="single" w:sz="8" w:space="0" w:color="000000"/>
            </w:tcBorders>
            <w:vAlign w:val="center"/>
          </w:tcPr>
          <w:p>
            <w:pPr>
              <w:spacing w:line="360" w:lineRule="exact"/>
              <w:rPr>
                <w:rFonts w:asciiTheme="minorEastAsia" w:eastAsiaTheme="minorEastAsia" w:hAnsiTheme="minorEastAsia" w:cs="宋体"/>
                <w:b/>
                <w:bCs/>
                <w:color w:val="0000FF"/>
                <w:sz w:val="24"/>
                <w:szCs w:val="24"/>
              </w:rPr>
            </w:pPr>
          </w:p>
        </w:tc>
        <w:tc>
          <w:tcPr>
            <w:tcW w:w="680"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2</w:t>
            </w:r>
          </w:p>
        </w:tc>
        <w:tc>
          <w:tcPr>
            <w:tcW w:w="2835"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cs="宋体"/>
                <w:szCs w:val="21"/>
              </w:rPr>
            </w:pPr>
            <w:r>
              <w:rPr>
                <w:rFonts w:asciiTheme="minorEastAsia" w:eastAsiaTheme="minorEastAsia" w:hAnsiTheme="minorEastAsia" w:cs="宋体" w:hint="eastAsia"/>
                <w:szCs w:val="21"/>
              </w:rPr>
              <w:t>质量保障措施</w:t>
            </w:r>
          </w:p>
        </w:tc>
        <w:tc>
          <w:tcPr>
            <w:tcW w:w="681"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cs="宋体" w:hint="eastAsia"/>
                <w:szCs w:val="21"/>
              </w:rPr>
              <w:t>10</w:t>
            </w:r>
          </w:p>
        </w:tc>
        <w:tc>
          <w:tcPr>
            <w:tcW w:w="4763"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一、评审内容：</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（1）工作计划；</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（2）进度计划及保障措施，包括但不限于制定进度计划书、流程安排表；</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（3）售后服务质量保障措施；</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（4）质量及完成时间保障措施。</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二、评分标准：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1、方案中每包含上述1项的得20分，4项全部包含的得80分。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2、在第1点基础上，专家根据各供应商的具体响应内容进一步评审：</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（1）优：质量保障措施中体现完成时间、安全、环保等各个方面，具有针对性，可操作性强，能够很好的保障项目质量的内容的，</w:t>
            </w:r>
            <w:r>
              <w:rPr>
                <w:rFonts w:asciiTheme="minorEastAsia" w:eastAsiaTheme="minorEastAsia" w:hAnsiTheme="minorEastAsia" w:hint="eastAsia"/>
                <w:kern w:val="0"/>
                <w:szCs w:val="21"/>
                <w:lang w:val="en-US" w:eastAsia="zh-CN"/>
              </w:rPr>
              <w:t>加</w:t>
            </w:r>
            <w:r>
              <w:rPr>
                <w:rFonts w:asciiTheme="minorEastAsia" w:eastAsiaTheme="minorEastAsia" w:hAnsiTheme="minorEastAsia" w:hint="eastAsia"/>
                <w:szCs w:val="21"/>
              </w:rPr>
              <w:t>20分；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（2）良：质量保障措施中体现质量保障的主要内容，针对性、可操作性较强，能够较好地保障项目质量的内容的，</w:t>
            </w:r>
            <w:r>
              <w:rPr>
                <w:rFonts w:asciiTheme="minorEastAsia" w:eastAsiaTheme="minorEastAsia" w:hAnsiTheme="minorEastAsia" w:hint="eastAsia"/>
                <w:kern w:val="0"/>
                <w:szCs w:val="21"/>
                <w:lang w:val="en-US" w:eastAsia="zh-CN"/>
              </w:rPr>
              <w:t>加</w:t>
            </w:r>
            <w:r>
              <w:rPr>
                <w:rFonts w:asciiTheme="minorEastAsia" w:eastAsiaTheme="minorEastAsia" w:hAnsiTheme="minorEastAsia" w:hint="eastAsia"/>
                <w:szCs w:val="21"/>
              </w:rPr>
              <w:t>10分；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（3）中：质量保障措施中体现基本能够保障项目质量的内容，针对性、可操作性一般的，</w:t>
            </w:r>
            <w:r>
              <w:rPr>
                <w:rFonts w:asciiTheme="minorEastAsia" w:eastAsiaTheme="minorEastAsia" w:hAnsiTheme="minorEastAsia" w:hint="eastAsia"/>
                <w:kern w:val="0"/>
                <w:szCs w:val="21"/>
                <w:lang w:val="en-US" w:eastAsia="zh-CN"/>
              </w:rPr>
              <w:t>加</w:t>
            </w:r>
            <w:r>
              <w:rPr>
                <w:rFonts w:asciiTheme="minorEastAsia" w:eastAsiaTheme="minorEastAsia" w:hAnsiTheme="minorEastAsia" w:hint="eastAsia"/>
                <w:szCs w:val="21"/>
              </w:rPr>
              <w:t>5分；</w:t>
            </w:r>
          </w:p>
          <w:p>
            <w:pPr>
              <w:spacing w:line="360" w:lineRule="exact"/>
              <w:rPr>
                <w:rFonts w:asciiTheme="minorEastAsia" w:eastAsiaTheme="minorEastAsia" w:hAnsiTheme="minorEastAsia" w:cs="宋体"/>
                <w:szCs w:val="21"/>
              </w:rPr>
            </w:pPr>
            <w:r>
              <w:rPr>
                <w:rFonts w:asciiTheme="minorEastAsia" w:eastAsiaTheme="minorEastAsia" w:hAnsiTheme="minorEastAsia" w:hint="eastAsia"/>
                <w:szCs w:val="21"/>
              </w:rPr>
              <w:t>（4）差：质量保障措施中未体现能够保障项目质量的内容，不具有针对性、可操作性的，不</w:t>
            </w:r>
            <w:r>
              <w:rPr>
                <w:rFonts w:asciiTheme="minorEastAsia" w:eastAsiaTheme="minorEastAsia" w:hAnsiTheme="minorEastAsia" w:hint="eastAsia"/>
                <w:kern w:val="0"/>
                <w:szCs w:val="21"/>
                <w:lang w:val="en-US" w:eastAsia="zh-CN"/>
              </w:rPr>
              <w:t>加</w:t>
            </w:r>
            <w:r>
              <w:rPr>
                <w:rFonts w:asciiTheme="minorEastAsia" w:eastAsiaTheme="minorEastAsia" w:hAnsiTheme="minorEastAsia" w:hint="eastAsia"/>
                <w:szCs w:val="21"/>
              </w:rPr>
              <w:t>分。</w:t>
            </w:r>
          </w:p>
        </w:tc>
      </w:tr>
      <w:tr>
        <w:tblPrEx>
          <w:tblW w:w="9639" w:type="dxa"/>
          <w:jc w:val="center"/>
          <w:tblCellMar>
            <w:top w:w="20" w:type="dxa"/>
            <w:left w:w="108" w:type="dxa"/>
            <w:bottom w:w="20" w:type="dxa"/>
            <w:right w:w="108" w:type="dxa"/>
          </w:tblCellMar>
        </w:tblPrEx>
        <w:trPr>
          <w:jc w:val="center"/>
        </w:trPr>
        <w:tc>
          <w:tcPr>
            <w:tcW w:w="0" w:type="auto"/>
            <w:vMerge/>
            <w:tcBorders>
              <w:left w:val="single" w:sz="8" w:space="0" w:color="000000"/>
              <w:right w:val="single" w:sz="8" w:space="0" w:color="000000"/>
            </w:tcBorders>
            <w:vAlign w:val="center"/>
          </w:tcPr>
          <w:p>
            <w:pPr>
              <w:spacing w:line="360" w:lineRule="exact"/>
              <w:rPr>
                <w:rFonts w:asciiTheme="minorEastAsia" w:eastAsiaTheme="minorEastAsia" w:hAnsiTheme="minorEastAsia" w:cs="宋体"/>
                <w:b/>
                <w:bCs/>
                <w:color w:val="0000FF"/>
                <w:sz w:val="24"/>
                <w:szCs w:val="24"/>
              </w:rPr>
            </w:pPr>
          </w:p>
        </w:tc>
        <w:tc>
          <w:tcPr>
            <w:tcW w:w="680"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hint="default"/>
                <w:szCs w:val="21"/>
                <w:lang w:val="en-US" w:eastAsia="zh-CN"/>
              </w:rPr>
            </w:pPr>
            <w:r>
              <w:rPr>
                <w:rFonts w:asciiTheme="minorEastAsia" w:eastAsiaTheme="minorEastAsia" w:hAnsiTheme="minorEastAsia" w:hint="eastAsia"/>
                <w:szCs w:val="21"/>
                <w:lang w:val="en-US" w:eastAsia="zh-CN"/>
              </w:rPr>
              <w:t>3</w:t>
            </w:r>
          </w:p>
        </w:tc>
        <w:tc>
          <w:tcPr>
            <w:tcW w:w="2835"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项目完成（服务期满）后的服务承诺</w:t>
            </w:r>
          </w:p>
        </w:tc>
        <w:tc>
          <w:tcPr>
            <w:tcW w:w="681"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hint="eastAsia"/>
                <w:szCs w:val="21"/>
                <w:lang w:val="en-US" w:eastAsia="zh-CN"/>
              </w:rPr>
            </w:pPr>
            <w:r>
              <w:rPr>
                <w:rFonts w:asciiTheme="minorEastAsia" w:eastAsiaTheme="minorEastAsia" w:hAnsiTheme="minorEastAsia" w:cs="宋体" w:hint="eastAsia"/>
                <w:szCs w:val="21"/>
                <w:lang w:val="en-US" w:eastAsia="zh-CN"/>
              </w:rPr>
              <w:t>2</w:t>
            </w:r>
          </w:p>
        </w:tc>
        <w:tc>
          <w:tcPr>
            <w:tcW w:w="4763"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一、评审内容：</w:t>
            </w:r>
          </w:p>
          <w:p>
            <w:pPr>
              <w:autoSpaceDE w:val="0"/>
              <w:autoSpaceDN w:val="0"/>
              <w:adjustRightInd w:val="0"/>
              <w:spacing w:line="360" w:lineRule="exact"/>
              <w:rPr>
                <w:rFonts w:asciiTheme="minorEastAsia" w:eastAsiaTheme="minorEastAsia" w:hAnsiTheme="minorEastAsia"/>
                <w:szCs w:val="21"/>
              </w:rPr>
            </w:pPr>
            <w:r>
              <w:rPr>
                <w:rFonts w:asciiTheme="minorEastAsia" w:eastAsiaTheme="minorEastAsia" w:hAnsiTheme="minorEastAsia" w:cs="宋体" w:hint="eastAsia"/>
                <w:szCs w:val="21"/>
              </w:rPr>
              <w:t>投标人提供</w:t>
            </w:r>
            <w:r>
              <w:rPr>
                <w:rFonts w:asciiTheme="minorEastAsia" w:eastAsiaTheme="minorEastAsia" w:hAnsiTheme="minorEastAsia" w:cs="宋体" w:hint="eastAsia"/>
                <w:szCs w:val="21"/>
                <w:lang w:val="en-US" w:eastAsia="zh-CN"/>
              </w:rPr>
              <w:t>项目完成（服务期满）后的服务承诺</w:t>
            </w:r>
            <w:r>
              <w:rPr>
                <w:rFonts w:asciiTheme="minorEastAsia" w:eastAsiaTheme="minorEastAsia" w:hAnsiTheme="minorEastAsia" w:cs="宋体" w:hint="eastAsia"/>
                <w:szCs w:val="21"/>
              </w:rPr>
              <w:t>，</w:t>
            </w:r>
            <w:r>
              <w:rPr>
                <w:rFonts w:asciiTheme="minorEastAsia" w:eastAsiaTheme="minorEastAsia" w:hAnsiTheme="minorEastAsia" w:cs="宋体"/>
                <w:szCs w:val="21"/>
              </w:rPr>
              <w:t>承诺以下</w:t>
            </w:r>
            <w:r>
              <w:rPr>
                <w:rFonts w:asciiTheme="minorEastAsia" w:eastAsiaTheme="minorEastAsia" w:hAnsiTheme="minorEastAsia" w:cs="宋体" w:hint="eastAsia"/>
                <w:szCs w:val="21"/>
              </w:rPr>
              <w:t>全部内容</w:t>
            </w:r>
            <w:r>
              <w:rPr>
                <w:rFonts w:asciiTheme="minorEastAsia" w:eastAsiaTheme="minorEastAsia" w:hAnsiTheme="minorEastAsia"/>
                <w:szCs w:val="21"/>
              </w:rPr>
              <w:t>的得</w:t>
            </w:r>
            <w:r>
              <w:rPr>
                <w:rFonts w:asciiTheme="minorEastAsia" w:eastAsiaTheme="minorEastAsia" w:hAnsiTheme="minorEastAsia" w:hint="eastAsia"/>
                <w:szCs w:val="21"/>
              </w:rPr>
              <w:t>100</w:t>
            </w:r>
            <w:r>
              <w:rPr>
                <w:rFonts w:asciiTheme="minorEastAsia" w:eastAsiaTheme="minorEastAsia" w:hAnsiTheme="minorEastAsia"/>
                <w:szCs w:val="21"/>
              </w:rPr>
              <w:t>分，否则不得分。</w:t>
            </w:r>
          </w:p>
          <w:p>
            <w:pPr>
              <w:spacing w:line="360" w:lineRule="exact"/>
              <w:rPr>
                <w:rFonts w:asciiTheme="minorEastAsia" w:eastAsiaTheme="minorEastAsia" w:hAnsiTheme="minorEastAsia" w:cs="宋体" w:hint="default"/>
                <w:szCs w:val="21"/>
                <w:lang w:val="en-US" w:eastAsia="zh-CN"/>
              </w:rPr>
            </w:pPr>
            <w:r>
              <w:rPr>
                <w:rFonts w:asciiTheme="minorEastAsia" w:eastAsiaTheme="minorEastAsia" w:hAnsiTheme="minorEastAsia" w:cs="宋体" w:hint="default"/>
                <w:szCs w:val="21"/>
                <w:lang w:val="en-US" w:eastAsia="zh-CN"/>
              </w:rPr>
              <w:t>1.服务期满后主动离岗；</w:t>
            </w:r>
          </w:p>
          <w:p>
            <w:pPr>
              <w:spacing w:line="360" w:lineRule="exact"/>
              <w:rPr>
                <w:rFonts w:asciiTheme="minorEastAsia" w:eastAsiaTheme="minorEastAsia" w:hAnsiTheme="minorEastAsia" w:cs="宋体" w:hint="default"/>
                <w:szCs w:val="21"/>
                <w:lang w:val="en-US" w:eastAsia="zh-CN"/>
              </w:rPr>
            </w:pPr>
            <w:r>
              <w:rPr>
                <w:rFonts w:asciiTheme="minorEastAsia" w:eastAsiaTheme="minorEastAsia" w:hAnsiTheme="minorEastAsia" w:cs="宋体" w:hint="default"/>
                <w:szCs w:val="21"/>
                <w:lang w:val="en-US" w:eastAsia="zh-CN"/>
              </w:rPr>
              <w:t>2.与后续服务公司进行交接；</w:t>
            </w:r>
          </w:p>
          <w:p>
            <w:pPr>
              <w:spacing w:line="360" w:lineRule="exact"/>
              <w:rPr>
                <w:rFonts w:asciiTheme="minorEastAsia" w:eastAsiaTheme="minorEastAsia" w:hAnsiTheme="minorEastAsia" w:cs="宋体" w:hint="default"/>
                <w:szCs w:val="21"/>
                <w:lang w:val="en-US" w:eastAsia="zh-CN"/>
              </w:rPr>
            </w:pPr>
            <w:r>
              <w:rPr>
                <w:rFonts w:asciiTheme="minorEastAsia" w:eastAsiaTheme="minorEastAsia" w:hAnsiTheme="minorEastAsia" w:cs="宋体" w:hint="default"/>
                <w:szCs w:val="21"/>
                <w:lang w:val="en-US" w:eastAsia="zh-CN"/>
              </w:rPr>
              <w:t>3.服务期满后，可在项目交接完成前继续提供不多于1个月的视频服务，不额外收取费用。</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lang w:val="en-US" w:eastAsia="zh-CN"/>
              </w:rPr>
              <w:t>二、</w:t>
            </w:r>
            <w:r>
              <w:rPr>
                <w:rFonts w:asciiTheme="minorEastAsia" w:eastAsiaTheme="minorEastAsia" w:hAnsiTheme="minorEastAsia" w:cs="宋体" w:hint="eastAsia"/>
                <w:szCs w:val="21"/>
              </w:rPr>
              <w:t>评分依据：</w:t>
            </w:r>
          </w:p>
          <w:p>
            <w:pPr>
              <w:spacing w:line="360" w:lineRule="exact"/>
              <w:rPr>
                <w:rFonts w:asciiTheme="minorEastAsia" w:eastAsiaTheme="minorEastAsia" w:hAnsiTheme="minorEastAsia" w:cs="Times New Roman" w:hint="eastAsia"/>
                <w:kern w:val="2"/>
                <w:sz w:val="21"/>
                <w:szCs w:val="21"/>
                <w:lang w:val="en-US" w:eastAsia="zh-CN" w:bidi="ar-SA"/>
              </w:rPr>
            </w:pPr>
            <w:r>
              <w:rPr>
                <w:rFonts w:asciiTheme="minorEastAsia" w:eastAsiaTheme="minorEastAsia" w:hAnsiTheme="minorEastAsia" w:cs="宋体" w:hint="eastAsia"/>
                <w:szCs w:val="21"/>
              </w:rPr>
              <w:t>提供《项目完成（服务期满）后的服务承诺函》（格式自定）作为得分依据，未提供承诺或承诺内容不满足要求的不得分。</w:t>
            </w:r>
          </w:p>
        </w:tc>
      </w:tr>
      <w:tr>
        <w:tblPrEx>
          <w:tblW w:w="9639" w:type="dxa"/>
          <w:jc w:val="center"/>
          <w:tblCellMar>
            <w:top w:w="20" w:type="dxa"/>
            <w:left w:w="108" w:type="dxa"/>
            <w:bottom w:w="20" w:type="dxa"/>
            <w:right w:w="108" w:type="dxa"/>
          </w:tblCellMar>
        </w:tblPrEx>
        <w:trPr>
          <w:jc w:val="center"/>
        </w:trPr>
        <w:tc>
          <w:tcPr>
            <w:tcW w:w="0" w:type="auto"/>
            <w:vMerge/>
            <w:tcBorders>
              <w:left w:val="single" w:sz="8" w:space="0" w:color="000000"/>
              <w:right w:val="single" w:sz="8" w:space="0" w:color="000000"/>
            </w:tcBorders>
            <w:vAlign w:val="center"/>
          </w:tcPr>
          <w:p>
            <w:pPr>
              <w:spacing w:line="360" w:lineRule="exact"/>
              <w:rPr>
                <w:rFonts w:asciiTheme="minorEastAsia" w:eastAsiaTheme="minorEastAsia" w:hAnsiTheme="minorEastAsia" w:cs="宋体"/>
                <w:b/>
                <w:bCs/>
                <w:color w:val="0000FF"/>
                <w:sz w:val="24"/>
                <w:szCs w:val="24"/>
              </w:rPr>
            </w:pPr>
          </w:p>
        </w:tc>
        <w:tc>
          <w:tcPr>
            <w:tcW w:w="680"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hint="eastAsia"/>
                <w:szCs w:val="21"/>
                <w:lang w:eastAsia="zh-CN"/>
              </w:rPr>
            </w:pPr>
            <w:r>
              <w:rPr>
                <w:rFonts w:asciiTheme="minorEastAsia" w:eastAsiaTheme="minorEastAsia" w:hAnsiTheme="minorEastAsia" w:hint="eastAsia"/>
                <w:szCs w:val="21"/>
                <w:lang w:val="en-US" w:eastAsia="zh-CN"/>
              </w:rPr>
              <w:t>4</w:t>
            </w:r>
          </w:p>
        </w:tc>
        <w:tc>
          <w:tcPr>
            <w:tcW w:w="2835"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cs="宋体"/>
                <w:szCs w:val="21"/>
              </w:rPr>
            </w:pPr>
            <w:r>
              <w:rPr>
                <w:rFonts w:asciiTheme="minorEastAsia" w:eastAsiaTheme="minorEastAsia" w:hAnsiTheme="minorEastAsia" w:cs="宋体" w:hint="eastAsia"/>
                <w:szCs w:val="21"/>
              </w:rPr>
              <w:t>投标人运维实力和为本项目提供服务的系统具备的信息安全等级</w:t>
            </w:r>
          </w:p>
        </w:tc>
        <w:tc>
          <w:tcPr>
            <w:tcW w:w="681"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hint="eastAsia"/>
                <w:szCs w:val="21"/>
                <w:lang w:eastAsia="zh-CN"/>
              </w:rPr>
            </w:pPr>
            <w:r>
              <w:rPr>
                <w:rFonts w:asciiTheme="minorEastAsia" w:eastAsiaTheme="minorEastAsia" w:hAnsiTheme="minorEastAsia" w:cs="宋体" w:hint="eastAsia"/>
                <w:szCs w:val="21"/>
                <w:lang w:val="en-US" w:eastAsia="zh-CN"/>
              </w:rPr>
              <w:t>8</w:t>
            </w:r>
          </w:p>
        </w:tc>
        <w:tc>
          <w:tcPr>
            <w:tcW w:w="4763"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cs="Times New Roman" w:hint="eastAsia"/>
                <w:szCs w:val="21"/>
              </w:rPr>
            </w:pPr>
            <w:r>
              <w:rPr>
                <w:rFonts w:asciiTheme="minorEastAsia" w:eastAsiaTheme="minorEastAsia" w:hAnsiTheme="minorEastAsia" w:cs="Times New Roman" w:hint="eastAsia"/>
                <w:szCs w:val="21"/>
              </w:rPr>
              <w:t>一、评审内容：</w:t>
            </w:r>
          </w:p>
          <w:p>
            <w:pPr>
              <w:spacing w:line="360" w:lineRule="exact"/>
              <w:rPr>
                <w:rFonts w:asciiTheme="minorEastAsia" w:eastAsiaTheme="minorEastAsia" w:hAnsiTheme="minorEastAsia" w:cs="Times New Roman" w:hint="eastAsia"/>
                <w:szCs w:val="21"/>
                <w:lang w:eastAsia="zh-CN"/>
              </w:rPr>
            </w:pPr>
            <w:r>
              <w:rPr>
                <w:rFonts w:asciiTheme="minorEastAsia" w:eastAsiaTheme="minorEastAsia" w:hAnsiTheme="minorEastAsia" w:cs="Times New Roman" w:hint="eastAsia"/>
                <w:szCs w:val="21"/>
              </w:rPr>
              <w:t>1.具有无线通信类、AI类、信息处理方法类知识产权专利或软件著作权</w:t>
            </w:r>
            <w:r>
              <w:rPr>
                <w:rFonts w:asciiTheme="minorEastAsia" w:eastAsiaTheme="minorEastAsia" w:hAnsiTheme="minorEastAsia" w:cs="Times New Roman" w:hint="eastAsia"/>
                <w:szCs w:val="21"/>
                <w:lang w:eastAsia="zh-CN"/>
              </w:rPr>
              <w:t>的，</w:t>
            </w:r>
            <w:r>
              <w:rPr>
                <w:rFonts w:asciiTheme="minorEastAsia" w:eastAsiaTheme="minorEastAsia" w:hAnsiTheme="minorEastAsia" w:cs="Times New Roman" w:hint="eastAsia"/>
                <w:szCs w:val="21"/>
              </w:rPr>
              <w:t>每有一个得</w:t>
            </w:r>
            <w:r>
              <w:rPr>
                <w:rFonts w:asciiTheme="minorEastAsia" w:eastAsiaTheme="minorEastAsia" w:hAnsiTheme="minorEastAsia" w:cs="Times New Roman" w:hint="eastAsia"/>
                <w:szCs w:val="21"/>
                <w:lang w:val="en-US" w:eastAsia="zh-CN"/>
              </w:rPr>
              <w:t>25分</w:t>
            </w:r>
            <w:r>
              <w:rPr>
                <w:rFonts w:asciiTheme="minorEastAsia" w:eastAsiaTheme="minorEastAsia" w:hAnsiTheme="minorEastAsia" w:cs="Times New Roman" w:hint="eastAsia"/>
                <w:szCs w:val="21"/>
              </w:rPr>
              <w:t>，同类不重复计分，此项最高得</w:t>
            </w:r>
            <w:r>
              <w:rPr>
                <w:rFonts w:asciiTheme="minorEastAsia" w:eastAsiaTheme="minorEastAsia" w:hAnsiTheme="minorEastAsia" w:cs="Times New Roman" w:hint="eastAsia"/>
                <w:szCs w:val="21"/>
                <w:lang w:val="en-US" w:eastAsia="zh-CN"/>
              </w:rPr>
              <w:t>75分</w:t>
            </w:r>
            <w:r>
              <w:rPr>
                <w:rFonts w:asciiTheme="minorEastAsia" w:eastAsiaTheme="minorEastAsia" w:hAnsiTheme="minorEastAsia" w:cs="Times New Roman" w:hint="eastAsia"/>
                <w:szCs w:val="21"/>
                <w:lang w:eastAsia="zh-CN"/>
              </w:rPr>
              <w:t>。</w:t>
            </w:r>
          </w:p>
          <w:p>
            <w:pPr>
              <w:spacing w:line="360" w:lineRule="exact"/>
              <w:rPr>
                <w:rFonts w:asciiTheme="minorEastAsia" w:eastAsiaTheme="minorEastAsia" w:hAnsiTheme="minorEastAsia" w:cs="Times New Roman" w:hint="eastAsia"/>
                <w:szCs w:val="21"/>
              </w:rPr>
            </w:pPr>
            <w:r>
              <w:rPr>
                <w:rFonts w:asciiTheme="minorEastAsia" w:eastAsiaTheme="minorEastAsia" w:hAnsiTheme="minorEastAsia" w:cs="Times New Roman" w:hint="eastAsia"/>
                <w:szCs w:val="21"/>
              </w:rPr>
              <w:t>2.投标人提供</w:t>
            </w:r>
            <w:r>
              <w:rPr>
                <w:rFonts w:asciiTheme="minorEastAsia" w:eastAsiaTheme="minorEastAsia" w:hAnsiTheme="minorEastAsia" w:cs="Times New Roman" w:hint="eastAsia"/>
                <w:szCs w:val="21"/>
                <w:lang w:eastAsia="zh-CN"/>
              </w:rPr>
              <w:t>拟投入服务</w:t>
            </w:r>
            <w:r>
              <w:rPr>
                <w:rFonts w:asciiTheme="minorEastAsia" w:eastAsiaTheme="minorEastAsia" w:hAnsiTheme="minorEastAsia" w:cs="Times New Roman" w:hint="eastAsia"/>
                <w:szCs w:val="21"/>
              </w:rPr>
              <w:t>的“互联网+明厨亮灶”系统网络系统安全等级保护不低于第2级的</w:t>
            </w:r>
            <w:r>
              <w:rPr>
                <w:rFonts w:asciiTheme="minorEastAsia" w:eastAsiaTheme="minorEastAsia" w:hAnsiTheme="minorEastAsia" w:cs="Times New Roman" w:hint="eastAsia"/>
                <w:szCs w:val="21"/>
                <w:lang w:eastAsia="zh-CN"/>
              </w:rPr>
              <w:t>相关</w:t>
            </w:r>
            <w:r>
              <w:rPr>
                <w:rFonts w:asciiTheme="minorEastAsia" w:eastAsiaTheme="minorEastAsia" w:hAnsiTheme="minorEastAsia" w:cs="Times New Roman" w:hint="eastAsia"/>
                <w:szCs w:val="21"/>
              </w:rPr>
              <w:t>证明，</w:t>
            </w:r>
            <w:r>
              <w:rPr>
                <w:rFonts w:asciiTheme="minorEastAsia" w:eastAsiaTheme="minorEastAsia" w:hAnsiTheme="minorEastAsia" w:cs="Times New Roman" w:hint="eastAsia"/>
                <w:szCs w:val="21"/>
                <w:lang w:val="en-US" w:eastAsia="zh-CN"/>
              </w:rPr>
              <w:t>得25</w:t>
            </w:r>
            <w:r>
              <w:rPr>
                <w:rFonts w:asciiTheme="minorEastAsia" w:eastAsiaTheme="minorEastAsia" w:hAnsiTheme="minorEastAsia" w:cs="Times New Roman" w:hint="eastAsia"/>
                <w:szCs w:val="21"/>
              </w:rPr>
              <w:t>分。</w:t>
            </w:r>
          </w:p>
          <w:p>
            <w:pPr>
              <w:spacing w:line="360" w:lineRule="exact"/>
              <w:rPr>
                <w:rFonts w:asciiTheme="minorEastAsia" w:eastAsiaTheme="minorEastAsia" w:hAnsiTheme="minorEastAsia" w:cs="Times New Roman" w:hint="eastAsia"/>
                <w:szCs w:val="21"/>
                <w:lang w:eastAsia="zh-CN"/>
              </w:rPr>
            </w:pPr>
            <w:r>
              <w:rPr>
                <w:rFonts w:asciiTheme="minorEastAsia" w:eastAsiaTheme="minorEastAsia" w:hAnsiTheme="minorEastAsia" w:cs="Times New Roman" w:hint="eastAsia"/>
                <w:szCs w:val="21"/>
              </w:rPr>
              <w:t>以上</w:t>
            </w:r>
            <w:r>
              <w:rPr>
                <w:rFonts w:asciiTheme="minorEastAsia" w:eastAsiaTheme="minorEastAsia" w:hAnsiTheme="minorEastAsia" w:cs="Times New Roman" w:hint="eastAsia"/>
                <w:szCs w:val="21"/>
                <w:lang w:val="en-US" w:eastAsia="zh-CN"/>
              </w:rPr>
              <w:t>累计最高得</w:t>
            </w:r>
            <w:r>
              <w:rPr>
                <w:rFonts w:asciiTheme="minorEastAsia" w:eastAsiaTheme="minorEastAsia" w:hAnsiTheme="minorEastAsia" w:cs="Times New Roman" w:hint="eastAsia"/>
                <w:szCs w:val="21"/>
              </w:rPr>
              <w:t>100分</w:t>
            </w:r>
            <w:r>
              <w:rPr>
                <w:rFonts w:asciiTheme="minorEastAsia" w:eastAsiaTheme="minorEastAsia" w:hAnsiTheme="minorEastAsia" w:cs="Times New Roman" w:hint="eastAsia"/>
                <w:szCs w:val="21"/>
                <w:lang w:eastAsia="zh-CN"/>
              </w:rPr>
              <w:t>。</w:t>
            </w:r>
          </w:p>
          <w:p>
            <w:pPr>
              <w:spacing w:line="360" w:lineRule="exact"/>
              <w:rPr>
                <w:rFonts w:asciiTheme="minorEastAsia" w:eastAsiaTheme="minorEastAsia" w:hAnsiTheme="minorEastAsia" w:cs="Times New Roman" w:hint="eastAsia"/>
                <w:szCs w:val="21"/>
              </w:rPr>
            </w:pPr>
            <w:r>
              <w:rPr>
                <w:rFonts w:asciiTheme="minorEastAsia" w:eastAsiaTheme="minorEastAsia" w:hAnsiTheme="minorEastAsia" w:cs="Times New Roman" w:hint="eastAsia"/>
                <w:szCs w:val="21"/>
              </w:rPr>
              <w:t>二、评分标准：</w:t>
            </w:r>
          </w:p>
          <w:p>
            <w:pPr>
              <w:spacing w:line="360" w:lineRule="exact"/>
              <w:rPr>
                <w:rFonts w:asciiTheme="minorEastAsia" w:eastAsiaTheme="minorEastAsia" w:hAnsiTheme="minorEastAsia" w:cs="Times New Roman" w:hint="eastAsia"/>
                <w:szCs w:val="21"/>
              </w:rPr>
            </w:pPr>
            <w:r>
              <w:rPr>
                <w:rFonts w:asciiTheme="minorEastAsia" w:eastAsiaTheme="minorEastAsia" w:hAnsiTheme="minorEastAsia" w:cs="Times New Roman" w:hint="eastAsia"/>
                <w:szCs w:val="21"/>
              </w:rPr>
              <w:t>1.第1项投标人须提供国家知识产权局颁发的已授权且未失效的专利证书或已颁发且有效的软件著作权</w:t>
            </w:r>
            <w:r>
              <w:rPr>
                <w:rFonts w:asciiTheme="minorEastAsia" w:eastAsiaTheme="minorEastAsia" w:hAnsiTheme="minorEastAsia" w:cs="Times New Roman" w:hint="eastAsia"/>
                <w:szCs w:val="21"/>
                <w:lang w:eastAsia="zh-CN"/>
              </w:rPr>
              <w:t>登记证书</w:t>
            </w:r>
            <w:r>
              <w:rPr>
                <w:rFonts w:asciiTheme="minorEastAsia" w:eastAsiaTheme="minorEastAsia" w:hAnsiTheme="minorEastAsia" w:cs="Times New Roman" w:hint="eastAsia"/>
                <w:szCs w:val="21"/>
              </w:rPr>
              <w:t>扫描件，</w:t>
            </w:r>
            <w:r>
              <w:rPr>
                <w:rFonts w:asciiTheme="minorEastAsia" w:eastAsiaTheme="minorEastAsia" w:hAnsiTheme="minorEastAsia" w:cs="Times New Roman" w:hint="eastAsia"/>
                <w:szCs w:val="21"/>
                <w:lang w:eastAsia="zh-CN"/>
              </w:rPr>
              <w:t>如为投标人自有软件，著作权人需为投标人；如为投标人通过购买或租赁等形式获得软件使用权的，需同时提供著作权人与投标人签订的相关合同或协议或购买发票，</w:t>
            </w:r>
            <w:r>
              <w:rPr>
                <w:rFonts w:asciiTheme="minorEastAsia" w:eastAsiaTheme="minorEastAsia" w:hAnsiTheme="minorEastAsia" w:cs="Times New Roman" w:hint="eastAsia"/>
                <w:szCs w:val="21"/>
              </w:rPr>
              <w:t>不提供不得分。</w:t>
            </w:r>
          </w:p>
          <w:p>
            <w:pPr>
              <w:spacing w:line="360" w:lineRule="exact"/>
              <w:rPr>
                <w:rFonts w:asciiTheme="minorEastAsia" w:eastAsiaTheme="minorEastAsia" w:hAnsiTheme="minorEastAsia" w:cs="Times New Roman" w:hint="eastAsia"/>
                <w:szCs w:val="21"/>
              </w:rPr>
            </w:pPr>
            <w:r>
              <w:rPr>
                <w:rFonts w:asciiTheme="minorEastAsia" w:eastAsiaTheme="minorEastAsia" w:hAnsiTheme="minorEastAsia" w:cs="Times New Roman" w:hint="eastAsia"/>
                <w:szCs w:val="21"/>
              </w:rPr>
              <w:t>2.第2项投标人须提供公安部门的备案证明、第三方测评机构的《等级测评报告》，</w:t>
            </w:r>
            <w:r>
              <w:rPr>
                <w:rFonts w:asciiTheme="minorEastAsia" w:eastAsiaTheme="minorEastAsia" w:hAnsiTheme="minorEastAsia" w:cs="Times New Roman" w:hint="eastAsia"/>
                <w:szCs w:val="21"/>
                <w:lang w:eastAsia="zh-CN"/>
              </w:rPr>
              <w:t>以及</w:t>
            </w:r>
            <w:r>
              <w:rPr>
                <w:rFonts w:asciiTheme="minorEastAsia" w:eastAsiaTheme="minorEastAsia" w:hAnsiTheme="minorEastAsia" w:cs="Times New Roman" w:hint="eastAsia"/>
                <w:szCs w:val="21"/>
              </w:rPr>
              <w:t>第三方测评机构取得的公安部第三研究所网络安全等级测评与检测评估机构服务认证证书扫描件，不提供不得分。评分中出现无证明资料或专家无法凭所提供资料判断是否得分的情况，一律作不得分处理。</w:t>
            </w:r>
          </w:p>
          <w:p>
            <w:pPr>
              <w:spacing w:line="360" w:lineRule="exact"/>
              <w:rPr>
                <w:rFonts w:eastAsiaTheme="minorEastAsia" w:hint="default"/>
                <w:lang w:val="en-US" w:eastAsia="zh-CN"/>
              </w:rPr>
            </w:pPr>
            <w:r>
              <w:rPr>
                <w:rFonts w:asciiTheme="minorEastAsia" w:eastAsiaTheme="minorEastAsia" w:hAnsiTheme="minorEastAsia" w:cs="Times New Roman" w:hint="eastAsia"/>
                <w:b/>
                <w:bCs/>
                <w:szCs w:val="21"/>
                <w:highlight w:val="yellow"/>
              </w:rPr>
              <w:t>注：若为联合体投标，联合体中任一方满足评分要求均可得分。</w:t>
            </w:r>
          </w:p>
        </w:tc>
      </w:tr>
      <w:tr>
        <w:tblPrEx>
          <w:tblW w:w="9639" w:type="dxa"/>
          <w:jc w:val="center"/>
          <w:tblCellMar>
            <w:top w:w="20" w:type="dxa"/>
            <w:left w:w="108" w:type="dxa"/>
            <w:bottom w:w="20" w:type="dxa"/>
            <w:right w:w="108" w:type="dxa"/>
          </w:tblCellMar>
        </w:tblPrEx>
        <w:trPr>
          <w:jc w:val="center"/>
        </w:trPr>
        <w:tc>
          <w:tcPr>
            <w:tcW w:w="0" w:type="auto"/>
            <w:vMerge/>
            <w:tcBorders>
              <w:left w:val="single" w:sz="8" w:space="0" w:color="000000"/>
              <w:right w:val="single" w:sz="8" w:space="0" w:color="000000"/>
            </w:tcBorders>
            <w:vAlign w:val="center"/>
          </w:tcPr>
          <w:p>
            <w:pPr>
              <w:spacing w:line="360" w:lineRule="exact"/>
              <w:rPr>
                <w:rFonts w:asciiTheme="minorEastAsia" w:eastAsiaTheme="minorEastAsia" w:hAnsiTheme="minorEastAsia" w:cs="宋体"/>
                <w:b/>
                <w:bCs/>
                <w:color w:val="0000FF"/>
                <w:sz w:val="24"/>
                <w:szCs w:val="24"/>
              </w:rPr>
            </w:pPr>
          </w:p>
        </w:tc>
        <w:tc>
          <w:tcPr>
            <w:tcW w:w="680"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hint="eastAsia"/>
                <w:szCs w:val="21"/>
                <w:lang w:eastAsia="zh-CN"/>
              </w:rPr>
            </w:pPr>
            <w:r>
              <w:rPr>
                <w:rFonts w:asciiTheme="minorEastAsia" w:eastAsiaTheme="minorEastAsia" w:hAnsiTheme="minorEastAsia" w:hint="eastAsia"/>
                <w:szCs w:val="21"/>
                <w:lang w:val="en-US" w:eastAsia="zh-CN"/>
              </w:rPr>
              <w:t>5</w:t>
            </w:r>
          </w:p>
        </w:tc>
        <w:tc>
          <w:tcPr>
            <w:tcW w:w="2835"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cs="宋体"/>
                <w:szCs w:val="21"/>
              </w:rPr>
            </w:pPr>
            <w:r>
              <w:rPr>
                <w:rFonts w:asciiTheme="minorEastAsia" w:eastAsiaTheme="minorEastAsia" w:hAnsiTheme="minorEastAsia" w:cs="宋体" w:hint="eastAsia"/>
                <w:szCs w:val="21"/>
              </w:rPr>
              <w:t>拟安排的项目负责人情况（仅限一人）</w:t>
            </w:r>
          </w:p>
        </w:tc>
        <w:tc>
          <w:tcPr>
            <w:tcW w:w="681"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cs="宋体" w:hint="eastAsia"/>
                <w:szCs w:val="21"/>
              </w:rPr>
              <w:t>10</w:t>
            </w:r>
          </w:p>
        </w:tc>
        <w:tc>
          <w:tcPr>
            <w:tcW w:w="4763"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 xml:space="preserve">一、评审内容： </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拟安排的项目负责人（仅限1人）需为投标人自有员工，否则本项不得分。在此基础上：</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1.具有通信类专业职称证书，得30分；</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2.人力资源和社会保障部以及工业和信息化部颁发的计算机技术与软件专业技术资格（专业：信息系统项目管理师 级别：高级），得30分；</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3.工业和信息化部人事教育司颁发的信息通信网络运行管理员证书，得30分；</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4.硕士研究生</w:t>
            </w:r>
            <w:r>
              <w:rPr>
                <w:rFonts w:asciiTheme="minorEastAsia" w:eastAsiaTheme="minorEastAsia" w:hAnsiTheme="minorEastAsia" w:cs="宋体" w:hint="eastAsia"/>
                <w:szCs w:val="21"/>
                <w:lang w:val="en-US" w:eastAsia="zh-CN"/>
              </w:rPr>
              <w:t>或</w:t>
            </w:r>
            <w:r>
              <w:rPr>
                <w:rFonts w:asciiTheme="minorEastAsia" w:eastAsiaTheme="minorEastAsia" w:hAnsiTheme="minorEastAsia" w:cs="宋体" w:hint="eastAsia"/>
                <w:szCs w:val="21"/>
              </w:rPr>
              <w:t>以上学历，得10分。</w:t>
            </w:r>
          </w:p>
          <w:p>
            <w:pPr>
              <w:spacing w:line="360" w:lineRule="exact"/>
              <w:rPr>
                <w:rFonts w:asciiTheme="minorEastAsia" w:eastAsiaTheme="minorEastAsia" w:hAnsiTheme="minorEastAsia" w:hint="eastAsia"/>
                <w:szCs w:val="21"/>
                <w:lang w:eastAsia="zh-CN"/>
              </w:rPr>
            </w:pPr>
            <w:r>
              <w:rPr>
                <w:rFonts w:asciiTheme="minorEastAsia" w:eastAsiaTheme="minorEastAsia" w:hAnsiTheme="minorEastAsia" w:hint="eastAsia"/>
                <w:szCs w:val="21"/>
              </w:rPr>
              <w:t>以上</w:t>
            </w:r>
            <w:r>
              <w:rPr>
                <w:rFonts w:asciiTheme="minorEastAsia" w:eastAsiaTheme="minorEastAsia" w:hAnsiTheme="minorEastAsia" w:hint="eastAsia"/>
                <w:szCs w:val="21"/>
                <w:lang w:val="en-US" w:eastAsia="zh-CN"/>
              </w:rPr>
              <w:t>累计最高得</w:t>
            </w:r>
            <w:r>
              <w:rPr>
                <w:rFonts w:asciiTheme="minorEastAsia" w:eastAsiaTheme="minorEastAsia" w:hAnsiTheme="minorEastAsia" w:hint="eastAsia"/>
                <w:szCs w:val="21"/>
              </w:rPr>
              <w:t>100分</w:t>
            </w:r>
            <w:r>
              <w:rPr>
                <w:rFonts w:asciiTheme="minorEastAsia" w:eastAsiaTheme="minorEastAsia" w:hAnsiTheme="minorEastAsia" w:hint="eastAsia"/>
                <w:szCs w:val="21"/>
                <w:lang w:eastAsia="zh-CN"/>
              </w:rPr>
              <w:t>。</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二、评分标准：</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1.提供项目负责人通过投标单位缴纳的载有社保部门或税务部门公章的近三个月内任意一个月的个人社保证明；如供应商为新成立单位且成立时间不足一个月的，可提供加盖公章的情况说明或者证明材料，无需提供相关人员社保，亦视为符合；如为退休返聘人员则提供劳动合同或返聘协议，无需提供相关人员社保，亦视为符合；</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2.提供拟安排项目负责人资格证书、毕业证书（或学位证书）扫描件以及中国高等教育学生信息网（学信网）（https://www.chsi.com.cn/）学历查询截图（对于较早颁发的学历证书，学信网无法查询的，除要求提供证书扫描件外，还须提供其他佐证材料如毕业院校、人社部门等颁发机构或监管机构等出具的证明）。学历证书如为境外颁发的，则须提供学历证书扫描件和中华人民共和国教育部留学服务中心认证的《国外学历学位认证书》扫描件。</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lang w:val="en-US" w:eastAsia="zh-CN"/>
              </w:rPr>
              <w:t>3</w:t>
            </w:r>
            <w:r>
              <w:rPr>
                <w:rFonts w:asciiTheme="minorEastAsia" w:eastAsiaTheme="minorEastAsia" w:hAnsiTheme="minorEastAsia" w:cs="宋体" w:hint="eastAsia"/>
                <w:szCs w:val="21"/>
              </w:rPr>
              <w:t>.如证书由行业协会颁发，需提供该行业协会在“中国社会组织政务服务平台”（网址：https://chinanpo.mca.gov.cn/）查询的已合法登记且状态正常截图，否则不予认可，视为无效证书；</w:t>
            </w:r>
          </w:p>
          <w:p>
            <w:pPr>
              <w:spacing w:line="360" w:lineRule="exact"/>
              <w:rPr>
                <w:rFonts w:asciiTheme="minorEastAsia" w:eastAsiaTheme="minorEastAsia" w:hAnsiTheme="minorEastAsia" w:cs="宋体"/>
                <w:szCs w:val="21"/>
              </w:rPr>
            </w:pPr>
            <w:r>
              <w:rPr>
                <w:rFonts w:asciiTheme="minorEastAsia" w:eastAsiaTheme="minorEastAsia" w:hAnsiTheme="minorEastAsia" w:cs="宋体" w:hint="eastAsia"/>
                <w:szCs w:val="21"/>
                <w:lang w:val="en-US" w:eastAsia="zh-CN"/>
              </w:rPr>
              <w:t>4</w:t>
            </w:r>
            <w:r>
              <w:rPr>
                <w:rFonts w:asciiTheme="minorEastAsia" w:eastAsiaTheme="minorEastAsia" w:hAnsiTheme="minorEastAsia" w:cs="宋体" w:hint="eastAsia"/>
                <w:szCs w:val="21"/>
              </w:rPr>
              <w:t>.提供以上证明文件扫描件，如涉及网站截图或照片等证明材料,需提供清晰图片。未按要求提供有效证明材料或提供不清晰导致评委无法识别的不计得分。</w:t>
            </w:r>
            <w:r>
              <w:br/>
            </w:r>
            <w:r>
              <w:rPr>
                <w:rFonts w:hint="eastAsia"/>
                <w:b/>
                <w:bCs/>
                <w:highlight w:val="yellow"/>
              </w:rPr>
              <w:t>注：若为联合体投标，联合体中任一方满足评分要求均可得分。</w:t>
            </w:r>
          </w:p>
        </w:tc>
      </w:tr>
      <w:tr>
        <w:tblPrEx>
          <w:tblW w:w="9639" w:type="dxa"/>
          <w:jc w:val="center"/>
          <w:tblCellMar>
            <w:top w:w="20" w:type="dxa"/>
            <w:left w:w="108" w:type="dxa"/>
            <w:bottom w:w="20" w:type="dxa"/>
            <w:right w:w="108" w:type="dxa"/>
          </w:tblCellMar>
        </w:tblPrEx>
        <w:trPr>
          <w:jc w:val="center"/>
        </w:trPr>
        <w:tc>
          <w:tcPr>
            <w:tcW w:w="0" w:type="auto"/>
            <w:vMerge/>
            <w:tcBorders>
              <w:left w:val="single" w:sz="8" w:space="0" w:color="000000"/>
              <w:bottom w:val="single" w:sz="8" w:space="0" w:color="000000"/>
              <w:right w:val="single" w:sz="8" w:space="0" w:color="000000"/>
            </w:tcBorders>
            <w:vAlign w:val="center"/>
          </w:tcPr>
          <w:p>
            <w:pPr>
              <w:spacing w:line="360" w:lineRule="exact"/>
              <w:rPr>
                <w:rFonts w:asciiTheme="minorEastAsia" w:eastAsiaTheme="minorEastAsia" w:hAnsiTheme="minorEastAsia" w:cs="宋体"/>
                <w:b/>
                <w:bCs/>
                <w:color w:val="0000FF"/>
                <w:sz w:val="24"/>
                <w:szCs w:val="24"/>
              </w:rPr>
            </w:pPr>
          </w:p>
        </w:tc>
        <w:tc>
          <w:tcPr>
            <w:tcW w:w="680"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hint="eastAsia"/>
                <w:szCs w:val="21"/>
                <w:lang w:val="en-US" w:eastAsia="zh-CN"/>
              </w:rPr>
            </w:pPr>
            <w:r>
              <w:rPr>
                <w:rFonts w:asciiTheme="minorEastAsia" w:eastAsiaTheme="minorEastAsia" w:hAnsiTheme="minorEastAsia" w:hint="eastAsia"/>
                <w:szCs w:val="21"/>
                <w:lang w:val="en-US" w:eastAsia="zh-CN"/>
              </w:rPr>
              <w:t>6</w:t>
            </w:r>
          </w:p>
        </w:tc>
        <w:tc>
          <w:tcPr>
            <w:tcW w:w="2835" w:type="dxa"/>
            <w:tcBorders>
              <w:top w:val="single" w:sz="8" w:space="0" w:color="000000"/>
              <w:left w:val="single" w:sz="8" w:space="0" w:color="000000"/>
              <w:bottom w:val="single" w:sz="8" w:space="0" w:color="000000"/>
              <w:right w:val="single" w:sz="8" w:space="0" w:color="000000"/>
            </w:tcBorders>
          </w:tcPr>
          <w:p>
            <w:pPr>
              <w:spacing w:line="360" w:lineRule="exact"/>
              <w:rPr>
                <w:rFonts w:ascii="仿宋_GB2312" w:eastAsia="仿宋_GB2312" w:hAnsi="仿宋_GB2312" w:cs="仿宋_GB2312" w:hint="eastAsia"/>
                <w:sz w:val="28"/>
                <w:szCs w:val="28"/>
              </w:rPr>
            </w:pPr>
            <w:r>
              <w:rPr>
                <w:rFonts w:asciiTheme="minorEastAsia" w:eastAsiaTheme="minorEastAsia" w:hAnsiTheme="minorEastAsia" w:hint="eastAsia"/>
                <w:szCs w:val="21"/>
              </w:rPr>
              <w:t>拟安排的项目主要团队成员（主要技术人员）情况（项目负责人除外）</w:t>
            </w:r>
          </w:p>
        </w:tc>
        <w:tc>
          <w:tcPr>
            <w:tcW w:w="681"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hint="eastAsia"/>
                <w:szCs w:val="21"/>
              </w:rPr>
            </w:pPr>
            <w:r>
              <w:rPr>
                <w:rFonts w:asciiTheme="minorEastAsia" w:eastAsiaTheme="minorEastAsia" w:hAnsiTheme="minorEastAsia" w:hint="eastAsia"/>
                <w:szCs w:val="21"/>
              </w:rPr>
              <w:t>10</w:t>
            </w:r>
          </w:p>
        </w:tc>
        <w:tc>
          <w:tcPr>
            <w:tcW w:w="4763"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 xml:space="preserve">一、评审内容： </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拟安排的项目主要团队成员（主要技术人员）（项目负责人除外）需为投标人自有员工，否则本项不得分。在此基础上</w:t>
            </w:r>
            <w:r>
              <w:rPr>
                <w:rFonts w:asciiTheme="minorEastAsia" w:eastAsiaTheme="minorEastAsia" w:hAnsiTheme="minorEastAsia" w:hint="eastAsia"/>
                <w:szCs w:val="21"/>
                <w:lang w:eastAsia="zh-CN"/>
              </w:rPr>
              <w:t>，</w:t>
            </w:r>
            <w:r>
              <w:rPr>
                <w:rFonts w:asciiTheme="minorEastAsia" w:eastAsiaTheme="minorEastAsia" w:hAnsiTheme="minorEastAsia" w:hint="eastAsia"/>
                <w:szCs w:val="21"/>
              </w:rPr>
              <w:t>同一人若</w:t>
            </w:r>
            <w:r>
              <w:rPr>
                <w:rFonts w:asciiTheme="minorEastAsia" w:eastAsiaTheme="minorEastAsia" w:hAnsiTheme="minorEastAsia" w:hint="eastAsia"/>
                <w:szCs w:val="21"/>
                <w:lang w:val="en-US" w:eastAsia="zh-CN"/>
              </w:rPr>
              <w:t>同时</w:t>
            </w:r>
            <w:r>
              <w:rPr>
                <w:rFonts w:asciiTheme="minorEastAsia" w:eastAsiaTheme="minorEastAsia" w:hAnsiTheme="minorEastAsia" w:hint="eastAsia"/>
                <w:szCs w:val="21"/>
              </w:rPr>
              <w:t>满足</w:t>
            </w:r>
            <w:r>
              <w:rPr>
                <w:rFonts w:asciiTheme="minorEastAsia" w:eastAsiaTheme="minorEastAsia" w:hAnsiTheme="minorEastAsia" w:hint="eastAsia"/>
                <w:szCs w:val="21"/>
                <w:lang w:val="en-US" w:eastAsia="zh-CN"/>
              </w:rPr>
              <w:t>第1</w:t>
            </w:r>
            <w:r>
              <w:rPr>
                <w:rFonts w:asciiTheme="minorEastAsia" w:eastAsiaTheme="minorEastAsia" w:hAnsiTheme="minorEastAsia" w:hint="eastAsia"/>
                <w:szCs w:val="21"/>
              </w:rPr>
              <w:t>、</w:t>
            </w:r>
            <w:r>
              <w:rPr>
                <w:rFonts w:asciiTheme="minorEastAsia" w:eastAsiaTheme="minorEastAsia" w:hAnsiTheme="minorEastAsia" w:hint="eastAsia"/>
                <w:szCs w:val="21"/>
                <w:lang w:val="en-US" w:eastAsia="zh-CN"/>
              </w:rPr>
              <w:t>2、3</w:t>
            </w:r>
            <w:r>
              <w:rPr>
                <w:rFonts w:asciiTheme="minorEastAsia" w:eastAsiaTheme="minorEastAsia" w:hAnsiTheme="minorEastAsia" w:hint="eastAsia"/>
                <w:szCs w:val="21"/>
              </w:rPr>
              <w:t>项条件不重复计分：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1.具有通信类专业高级职称证书的，每满足一人得10分，本项最高得20分；</w:t>
            </w:r>
          </w:p>
          <w:p>
            <w:pPr>
              <w:spacing w:line="360" w:lineRule="exact"/>
              <w:rPr>
                <w:rFonts w:eastAsia="宋体" w:asciiTheme="minorEastAsia" w:hAnsiTheme="minorEastAsia" w:hint="default"/>
                <w:szCs w:val="21"/>
                <w:lang w:val="en-US" w:eastAsia="zh-CN"/>
              </w:rPr>
            </w:pPr>
            <w:r>
              <w:rPr>
                <w:rFonts w:asciiTheme="minorEastAsia" w:eastAsiaTheme="minorEastAsia" w:hAnsiTheme="minorEastAsia" w:hint="eastAsia"/>
                <w:szCs w:val="21"/>
              </w:rPr>
              <w:t>2.</w:t>
            </w:r>
            <w:r>
              <w:rPr>
                <w:rFonts w:asciiTheme="minorEastAsia" w:eastAsiaTheme="minorEastAsia" w:hAnsiTheme="minorEastAsia" w:hint="eastAsia"/>
                <w:szCs w:val="21"/>
                <w:lang w:val="en-US" w:eastAsia="zh-CN"/>
              </w:rPr>
              <w:t>具有</w:t>
            </w:r>
            <w:r>
              <w:rPr>
                <w:rFonts w:asciiTheme="minorEastAsia" w:eastAsiaTheme="minorEastAsia" w:hAnsiTheme="minorEastAsia" w:hint="eastAsia"/>
                <w:szCs w:val="21"/>
              </w:rPr>
              <w:t>网络安全技术（高级）证书</w:t>
            </w:r>
            <w:r>
              <w:rPr>
                <w:rFonts w:asciiTheme="minorEastAsia" w:eastAsiaTheme="minorEastAsia" w:hAnsiTheme="minorEastAsia" w:hint="eastAsia"/>
                <w:szCs w:val="21"/>
                <w:lang w:val="en-US" w:eastAsia="zh-CN"/>
              </w:rPr>
              <w:t>或</w:t>
            </w:r>
            <w:r>
              <w:rPr>
                <w:rFonts w:asciiTheme="minorEastAsia" w:eastAsiaTheme="minorEastAsia" w:hAnsiTheme="minorEastAsia" w:hint="eastAsia"/>
                <w:szCs w:val="21"/>
              </w:rPr>
              <w:t>高级网络与信息安全工程师证书</w:t>
            </w:r>
            <w:r>
              <w:rPr>
                <w:rFonts w:asciiTheme="minorEastAsia" w:eastAsiaTheme="minorEastAsia" w:hAnsiTheme="minorEastAsia" w:hint="eastAsia"/>
                <w:szCs w:val="21"/>
                <w:lang w:val="en-US" w:eastAsia="zh-CN"/>
              </w:rPr>
              <w:t>或</w:t>
            </w:r>
            <w:r>
              <w:rPr>
                <w:rFonts w:asciiTheme="minorEastAsia" w:eastAsiaTheme="minorEastAsia" w:hAnsiTheme="minorEastAsia" w:hint="eastAsia"/>
                <w:szCs w:val="21"/>
              </w:rPr>
              <w:t>算力网络技术（高级）证书，每满足一人得1</w:t>
            </w:r>
            <w:r>
              <w:rPr>
                <w:rFonts w:asciiTheme="minorEastAsia" w:eastAsiaTheme="minorEastAsia" w:hAnsiTheme="minorEastAsia" w:hint="eastAsia"/>
                <w:szCs w:val="21"/>
                <w:lang w:val="en-US" w:eastAsia="zh-CN"/>
              </w:rPr>
              <w:t>5</w:t>
            </w:r>
            <w:r>
              <w:rPr>
                <w:rFonts w:asciiTheme="minorEastAsia" w:eastAsiaTheme="minorEastAsia" w:hAnsiTheme="minorEastAsia" w:hint="eastAsia"/>
                <w:szCs w:val="21"/>
              </w:rPr>
              <w:t>分，本项最高得60分；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lang w:val="en-US" w:eastAsia="zh-CN"/>
              </w:rPr>
              <w:t>3</w:t>
            </w:r>
            <w:r>
              <w:rPr>
                <w:rFonts w:asciiTheme="minorEastAsia" w:eastAsiaTheme="minorEastAsia" w:hAnsiTheme="minorEastAsia" w:hint="eastAsia"/>
                <w:szCs w:val="21"/>
              </w:rPr>
              <w:t>.具有网络工程师证书</w:t>
            </w:r>
            <w:r>
              <w:rPr>
                <w:rFonts w:asciiTheme="minorEastAsia" w:eastAsiaTheme="minorEastAsia" w:hAnsiTheme="minorEastAsia" w:hint="eastAsia"/>
                <w:szCs w:val="21"/>
                <w:lang w:eastAsia="zh-CN"/>
              </w:rPr>
              <w:t>，</w:t>
            </w:r>
            <w:r>
              <w:rPr>
                <w:rFonts w:asciiTheme="minorEastAsia" w:eastAsiaTheme="minorEastAsia" w:hAnsiTheme="minorEastAsia" w:hint="eastAsia"/>
                <w:szCs w:val="21"/>
              </w:rPr>
              <w:t>每满足一人得</w:t>
            </w:r>
            <w:r>
              <w:rPr>
                <w:rFonts w:asciiTheme="minorEastAsia" w:eastAsiaTheme="minorEastAsia" w:hAnsiTheme="minorEastAsia" w:hint="eastAsia"/>
                <w:szCs w:val="21"/>
                <w:lang w:val="en-US" w:eastAsia="zh-CN"/>
              </w:rPr>
              <w:t>10</w:t>
            </w:r>
            <w:r>
              <w:rPr>
                <w:rFonts w:asciiTheme="minorEastAsia" w:eastAsiaTheme="minorEastAsia" w:hAnsiTheme="minorEastAsia" w:hint="eastAsia"/>
                <w:szCs w:val="21"/>
              </w:rPr>
              <w:t>分，本项最高得</w:t>
            </w:r>
            <w:r>
              <w:rPr>
                <w:rFonts w:asciiTheme="minorEastAsia" w:eastAsiaTheme="minorEastAsia" w:hAnsiTheme="minorEastAsia" w:hint="eastAsia"/>
                <w:szCs w:val="21"/>
                <w:lang w:val="en-US" w:eastAsia="zh-CN"/>
              </w:rPr>
              <w:t>10</w:t>
            </w:r>
            <w:r>
              <w:rPr>
                <w:rFonts w:asciiTheme="minorEastAsia" w:eastAsiaTheme="minorEastAsia" w:hAnsiTheme="minorEastAsia" w:hint="eastAsia"/>
                <w:szCs w:val="21"/>
              </w:rPr>
              <w:t>分；</w:t>
            </w:r>
          </w:p>
          <w:p>
            <w:pPr>
              <w:spacing w:line="360" w:lineRule="exact"/>
              <w:rPr>
                <w:rFonts w:asciiTheme="minorEastAsia" w:eastAsiaTheme="minorEastAsia" w:hAnsiTheme="minorEastAsia" w:hint="eastAsia"/>
                <w:szCs w:val="21"/>
                <w:lang w:val="en-US" w:eastAsia="zh-CN"/>
              </w:rPr>
            </w:pPr>
            <w:r>
              <w:rPr>
                <w:rFonts w:asciiTheme="minorEastAsia" w:eastAsiaTheme="minorEastAsia" w:hAnsiTheme="minorEastAsia" w:hint="eastAsia"/>
                <w:szCs w:val="21"/>
                <w:lang w:val="en-US" w:eastAsia="zh-CN"/>
              </w:rPr>
              <w:t>4</w:t>
            </w:r>
            <w:r>
              <w:rPr>
                <w:rFonts w:asciiTheme="minorEastAsia" w:eastAsiaTheme="minorEastAsia" w:hAnsiTheme="minorEastAsia" w:hint="eastAsia"/>
                <w:szCs w:val="21"/>
              </w:rPr>
              <w:t>.每提供1人具有“互联网+明厨亮灶”同类项目工作经验的得</w:t>
            </w:r>
            <w:r>
              <w:rPr>
                <w:rFonts w:asciiTheme="minorEastAsia" w:eastAsiaTheme="minorEastAsia" w:hAnsiTheme="minorEastAsia" w:hint="eastAsia"/>
                <w:szCs w:val="21"/>
                <w:lang w:val="en-US" w:eastAsia="zh-CN"/>
              </w:rPr>
              <w:t>5</w:t>
            </w:r>
            <w:r>
              <w:rPr>
                <w:rFonts w:asciiTheme="minorEastAsia" w:eastAsiaTheme="minorEastAsia" w:hAnsiTheme="minorEastAsia" w:hint="eastAsia"/>
                <w:szCs w:val="21"/>
              </w:rPr>
              <w:t>分，</w:t>
            </w:r>
            <w:r>
              <w:rPr>
                <w:rFonts w:asciiTheme="minorEastAsia" w:eastAsiaTheme="minorEastAsia" w:hAnsiTheme="minorEastAsia" w:hint="eastAsia"/>
                <w:szCs w:val="21"/>
                <w:lang w:val="en-US" w:eastAsia="zh-CN"/>
              </w:rPr>
              <w:t>本项</w:t>
            </w:r>
            <w:r>
              <w:rPr>
                <w:rFonts w:asciiTheme="minorEastAsia" w:eastAsiaTheme="minorEastAsia" w:hAnsiTheme="minorEastAsia" w:hint="eastAsia"/>
                <w:szCs w:val="21"/>
              </w:rPr>
              <w:t>最高得</w:t>
            </w:r>
            <w:r>
              <w:rPr>
                <w:rFonts w:asciiTheme="minorEastAsia" w:eastAsiaTheme="minorEastAsia" w:hAnsiTheme="minorEastAsia" w:hint="eastAsia"/>
                <w:szCs w:val="21"/>
                <w:lang w:val="en-US" w:eastAsia="zh-CN"/>
              </w:rPr>
              <w:t>10</w:t>
            </w:r>
            <w:r>
              <w:rPr>
                <w:rFonts w:asciiTheme="minorEastAsia" w:eastAsiaTheme="minorEastAsia" w:hAnsiTheme="minorEastAsia" w:hint="eastAsia"/>
                <w:szCs w:val="21"/>
              </w:rPr>
              <w:t>分。</w:t>
            </w:r>
          </w:p>
          <w:p>
            <w:pPr>
              <w:spacing w:line="360" w:lineRule="exact"/>
              <w:rPr>
                <w:rFonts w:asciiTheme="minorEastAsia" w:eastAsiaTheme="minorEastAsia" w:hAnsiTheme="minorEastAsia" w:hint="eastAsia"/>
                <w:szCs w:val="21"/>
                <w:lang w:val="en-US" w:eastAsia="zh-CN"/>
              </w:rPr>
            </w:pPr>
            <w:r>
              <w:rPr>
                <w:rFonts w:asciiTheme="minorEastAsia" w:eastAsiaTheme="minorEastAsia" w:hAnsiTheme="minorEastAsia" w:hint="eastAsia"/>
                <w:szCs w:val="21"/>
                <w:lang w:val="en-US" w:eastAsia="zh-CN"/>
              </w:rPr>
              <w:t>以上累计最高得100分。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 xml:space="preserve">二、评分标准： </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1.提供项目</w:t>
            </w:r>
            <w:r>
              <w:rPr>
                <w:rFonts w:asciiTheme="minorEastAsia" w:eastAsiaTheme="minorEastAsia" w:hAnsiTheme="minorEastAsia" w:hint="eastAsia"/>
                <w:szCs w:val="21"/>
                <w:lang w:val="en-US" w:eastAsia="zh-CN"/>
              </w:rPr>
              <w:t>团队成员</w:t>
            </w:r>
            <w:r>
              <w:rPr>
                <w:rFonts w:asciiTheme="minorEastAsia" w:eastAsiaTheme="minorEastAsia" w:hAnsiTheme="minorEastAsia" w:hint="eastAsia"/>
                <w:szCs w:val="21"/>
              </w:rPr>
              <w:t>通过投标单位缴纳的载有社保部门或税务部门公章的近三个月内任意一个月的个人社保证明；如供应商为新成立单位且成立时间不足一个月的，可提供加盖公章的情况说明或者证明材料，无需提供相关人员社保，亦视为符合；如为退休返聘人员则提供劳动合同或返聘协议，无需提供相关人员社保，亦视为符合；</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2.提供上述职称证书、资格证书扫描件。</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lang w:val="en-US" w:eastAsia="zh-CN"/>
              </w:rPr>
              <w:t>3</w:t>
            </w:r>
            <w:r>
              <w:rPr>
                <w:rFonts w:asciiTheme="minorEastAsia" w:eastAsiaTheme="minorEastAsia" w:hAnsiTheme="minorEastAsia" w:hint="eastAsia"/>
                <w:szCs w:val="21"/>
              </w:rPr>
              <w:t>.如证书由行业协会颁发，需提供该行业协会在“中国社会组织政务服务平台”（网址：https://chinanpo.mca.gov.cn/）查询的已合法登记且状态正常截图，否则不予认可，视为无效证书；</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lang w:val="en-US" w:eastAsia="zh-CN"/>
              </w:rPr>
              <w:t>4</w:t>
            </w:r>
            <w:r>
              <w:rPr>
                <w:rFonts w:asciiTheme="minorEastAsia" w:eastAsiaTheme="minorEastAsia" w:hAnsiTheme="minorEastAsia" w:hint="eastAsia"/>
                <w:szCs w:val="21"/>
              </w:rPr>
              <w:t>.涉及考察人员工作经验的，要求提供项目合同关键信息作为评分依据，通过合同关键信息无法判断是否得分的，还需同时提供合同甲方出具的证明文件</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lang w:val="en-US" w:eastAsia="zh-CN"/>
              </w:rPr>
              <w:t>5.</w:t>
            </w:r>
            <w:r>
              <w:rPr>
                <w:rFonts w:asciiTheme="minorEastAsia" w:eastAsiaTheme="minorEastAsia" w:hAnsiTheme="minorEastAsia" w:hint="eastAsia"/>
                <w:szCs w:val="21"/>
              </w:rPr>
              <w:t>提供以上证明文件扫描件，如涉及网站截图或照片等证明材料,需提供清晰图片。未按要求提供有效证明材料或提供不清晰导致评委无法识别的不计得分。</w:t>
            </w:r>
          </w:p>
          <w:p>
            <w:pPr>
              <w:spacing w:line="360" w:lineRule="exact"/>
              <w:rPr>
                <w:rFonts w:asciiTheme="minorEastAsia" w:eastAsiaTheme="minorEastAsia" w:hAnsiTheme="minorEastAsia" w:hint="eastAsia"/>
                <w:szCs w:val="21"/>
              </w:rPr>
            </w:pPr>
            <w:r>
              <w:rPr>
                <w:rFonts w:hint="eastAsia"/>
                <w:b/>
                <w:bCs/>
                <w:highlight w:val="yellow"/>
              </w:rPr>
              <w:t>注：若为联合体投标，联合体中任一方满足评分要求均可得分。</w:t>
            </w:r>
          </w:p>
        </w:tc>
      </w:tr>
      <w:tr>
        <w:tblPrEx>
          <w:tblW w:w="9639" w:type="dxa"/>
          <w:jc w:val="center"/>
          <w:tblCellMar>
            <w:top w:w="20" w:type="dxa"/>
            <w:left w:w="108" w:type="dxa"/>
            <w:bottom w:w="20" w:type="dxa"/>
            <w:right w:w="108" w:type="dxa"/>
          </w:tblCellMar>
        </w:tblPrEx>
        <w:trPr>
          <w:jc w:val="center"/>
        </w:trPr>
        <w:tc>
          <w:tcPr>
            <w:tcW w:w="0" w:type="auto"/>
            <w:vMerge/>
            <w:tcBorders>
              <w:left w:val="single" w:sz="8" w:space="0" w:color="000000"/>
              <w:bottom w:val="single" w:sz="8" w:space="0" w:color="000000"/>
              <w:right w:val="single" w:sz="8" w:space="0" w:color="000000"/>
            </w:tcBorders>
            <w:vAlign w:val="center"/>
          </w:tcPr>
          <w:p>
            <w:pPr>
              <w:spacing w:line="360" w:lineRule="exact"/>
              <w:rPr>
                <w:rFonts w:asciiTheme="minorEastAsia" w:eastAsiaTheme="minorEastAsia" w:hAnsiTheme="minorEastAsia" w:cs="宋体"/>
                <w:b/>
                <w:bCs/>
                <w:color w:val="0000FF"/>
                <w:sz w:val="24"/>
                <w:szCs w:val="24"/>
              </w:rPr>
            </w:pPr>
          </w:p>
        </w:tc>
        <w:tc>
          <w:tcPr>
            <w:tcW w:w="680"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hint="eastAsia"/>
                <w:szCs w:val="21"/>
                <w:lang w:val="en-US" w:eastAsia="zh-CN"/>
              </w:rPr>
            </w:pPr>
            <w:r>
              <w:rPr>
                <w:rFonts w:asciiTheme="minorEastAsia" w:eastAsiaTheme="minorEastAsia" w:hAnsiTheme="minorEastAsia" w:hint="eastAsia"/>
                <w:szCs w:val="21"/>
                <w:lang w:val="en-US" w:eastAsia="zh-CN"/>
              </w:rPr>
              <w:t>7</w:t>
            </w:r>
          </w:p>
        </w:tc>
        <w:tc>
          <w:tcPr>
            <w:tcW w:w="2835"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现场演示</w:t>
            </w:r>
          </w:p>
        </w:tc>
        <w:tc>
          <w:tcPr>
            <w:tcW w:w="681"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hint="eastAsia"/>
                <w:szCs w:val="21"/>
              </w:rPr>
            </w:pPr>
            <w:r>
              <w:rPr>
                <w:rFonts w:asciiTheme="minorEastAsia" w:eastAsiaTheme="minorEastAsia" w:hAnsiTheme="minorEastAsia" w:hint="eastAsia"/>
                <w:szCs w:val="21"/>
              </w:rPr>
              <w:t>15</w:t>
            </w:r>
          </w:p>
        </w:tc>
        <w:tc>
          <w:tcPr>
            <w:tcW w:w="4763"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一、评审内容：</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根据采购人实际业务需求，投标人须按实际系统现场演示，共100分。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业务服务平台系统（65分）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（一）管理员端实现以下基本功能（36分）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1.统计功能（10分）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1）餐饮单位基础信息统计：至少包含企业分类统计，满足得1分，不满足不得分。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2）设备在线数量统计，满足得1分，不满足不得分。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3）食安指数排名统计，满足得1分，不满足不得分。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4）证照预警及处置情况统计，证照预警包括：食品经营许可证到期提醒。满足得1分，不满足不得分。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5）AI智能抓拍及处置情况统计，满足得2分，不满足不得分。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6）人工预警及处置情况统计，满足得2分，不满足不得分。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7）投诉举报及处置情况统计，满足得2分，不满足不得分。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2.功能模块（21分）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1）数据汇总展板，包括：食安指数，投诉建议，监督管理（含AI预警、人工预警）。全部满分4分，不满足不得分。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2）远程监控：支持按照全区、各街道、各类型、各企业分组进行远程监控查看、监控画面支持一画面、四画面、九画面同时播放实况视频，支持按指定时段查看回放。全部满足得4分，不满足不得分。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3）GIS地图:支持名称检索、使用鼠标指向对应图标可浮动显示企业单位信息，单位信息包括单位名称、单位地址、单位类型、负责人、食安指数等信息，全部满足得4分，不满足不得分。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4）AI行为分析预警:</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①预警通知可推送到指定用户。全部满足得1分，不满足不得分。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②支持实时抓拍、实时预警，统一页面按预警类型分类展示，预警类型包括：鼠患识别、未规范佩戴口罩、未规范穿工作衣、未规范戴工作帽等，提供抓拍图片和抓拍数据，其中鼠患识别需要抓拍5秒左右视频。全部满足得2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lang w:val="en-US" w:eastAsia="zh-CN"/>
              </w:rPr>
              <w:t>5</w:t>
            </w:r>
            <w:r>
              <w:rPr>
                <w:rFonts w:asciiTheme="minorEastAsia" w:eastAsiaTheme="minorEastAsia" w:hAnsiTheme="minorEastAsia" w:hint="eastAsia"/>
                <w:szCs w:val="21"/>
              </w:rPr>
              <w:t>）人工线上巡查任务闭环：支持管理员端发起人工线上巡查任务，支持通过观看对应企业的实况或回放视频，截取并上传违规图片、视频、检查结果等信息，推送到普通用户端，普通用户端用户登录系统进行检查结果处置反馈回复，完成闭环处理。全部满足得3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lang w:val="en-US" w:eastAsia="zh-CN"/>
              </w:rPr>
              <w:t>6</w:t>
            </w:r>
            <w:r>
              <w:rPr>
                <w:rFonts w:asciiTheme="minorEastAsia" w:eastAsiaTheme="minorEastAsia" w:hAnsiTheme="minorEastAsia" w:hint="eastAsia"/>
                <w:szCs w:val="21"/>
              </w:rPr>
              <w:t>）系统支持向管理员端发起上门检查或抽检任务：当餐饮单位食安指数低于80分或人工线上巡查发现重点问题未按期处置时，向对应权限的管理员端发起上门检查或抽检任务，支持管理员端录入上门检查或抽检反馈信息，形成闭环。全部满足得3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3.权限管理（5分）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1）管理员用户端支持各类身份设定，根据采购方要求，对每类身份设置查看权限。满足得2分，不满足不得分。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2）系统支持对管理员用户和餐饮单位进行对应关联。全部满足得3分，不满足不得分。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（二）普通用户端实现以下基本功能（14分）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1.餐饮单位基础信息（包括但不限于证照、负责人、食品安全管理人员及联系方式等基础信息）录入与管理，录入信息后管理员端实时同步数据。全部满足得2分，不满足不得分。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2.预警数据处理闭环：用户端可以登录系统查看并处理AI预警、人工巡查预警数据，处理后需要签名确认，以上预警和处理信息能够在管理员端口实时同步数据。全部满足得2分,不满足不得分。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3.支持系统根据预警及整改情况生成落实主体责任的“日管控”“周排查”“月调度”表单，支持普通用户端线上签名和下载。全部满足得2分，不满足不得分。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4.在系统中预设常见违规操作相关食品安全知识，如发生以上预警情形的，在推送预警信息时，同步推送相关食品安全知识。全部满足得2分，不满足不得分。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5.食安指数自动更新闭环：产生预警时食安指数自动扣分，普通用户端接收预警通知，上传整改信息后，食安指数自动加分，各类用户端展示页面自动完成食安指数更新。全部满足得3分，不满足不得分。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6.投诉信息回复闭环：普通用户端接收公众端提交的投诉信息，回复处置信息后，投诉和处置的信息能够在管理员端口实时同步数据。全部满足得3分，不满足不得分。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（三）公众端实现以下基本功能（15分）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1.一企一码，支持消费者通过扫码查看商家后厨视频、商家地址、联系方式、食安指数等信息。全部满足得8分，不满足不得分。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2.消费者评价闭环：支持消费者通过文字、拍照、视频上传等多种方式对企业进行评价或投诉，以上信息同步推送到普通用户端。全部满足得7分，不满足不得分。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二、运维管理系统（35分）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“互联网+明厨亮灶”运维管理web端实现以下功能（20分）：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1.主体管理：支持增改查运维的主体单位，批量修改，导入及导出，支持查看编辑每个主体的主体信息、运维信息、网络信息、点位信息、设备信息、动态信息和工单信息。全部满足得5分，不满足不得分。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设备管理：支持增改查所有设备，包括已入库的设备，已安装的设备，运维人员的备件和状态异常的设备（包括遗失和报废）。支持导入导出。支持查看设备的流通信息并对设备标注异常，标注后需要审批。支持配置设备的类型和品牌型号。全部满足得5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3.网络管理：支持增改查所有物联网卡及光纤，将网络绑定到主体，或从主体解绑。对接运营商平台获取卡状态和流量，支持对卡进行停机复机等操作，支持获取卡日志，添加备注。支持管理流量池卡列表，设置单卡阈值。全部满足得5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4.工单管理：支持增改查所有工单，支持查看工单相关的主体信息，工单状态信息，工单信息，动态信息和回执信息。支持导入导出，批量修改。系统预置新建安装，新建踏勘，拆下拆回，上门保养和故障排查五种类型工单。支持根据离线时长自动生成故障工单。支持配置工单类型的状态和截止时间。全部满足得5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“互联网+明厨亮灶”运维管理（移动端）应实现以下功能（15分）：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1.主体管理：支持增改查运维的主体单位，持查看编辑每个主体的主体信息、运维信息、网络信息和设备信息。全部满足得5分，不满足不得分。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2.设备管理：支持运维人员增改查当前用户的备件。支持对设备标注异常（包括遗失和报废），标注后需要审批。全部满足得5分，不满足不得分。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3.工单管理：支持增改查所有工单，支持查看编辑工单信息及回执信息，支持查看工单的动态信息。支持对工单进行开始，暂停，继续和结束的操作。全部满足得5分，不满足不得分。</w:t>
            </w:r>
          </w:p>
          <w:p>
            <w:pPr>
              <w:spacing w:line="360" w:lineRule="exact"/>
              <w:rPr>
                <w:rFonts w:asciiTheme="minorEastAsia" w:eastAsiaTheme="minorEastAsia" w:hAnsiTheme="minorEastAsia" w:hint="eastAsia"/>
                <w:b/>
                <w:bCs/>
                <w:szCs w:val="21"/>
              </w:rPr>
            </w:pPr>
            <w:r>
              <w:rPr>
                <w:rFonts w:asciiTheme="minorEastAsia" w:eastAsiaTheme="minorEastAsia" w:hAnsiTheme="minorEastAsia" w:hint="eastAsia"/>
                <w:b/>
                <w:bCs/>
                <w:szCs w:val="21"/>
              </w:rPr>
              <w:t>以上演示要求系统原型演示，系统录屏演示或DEMO演示均不得分。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b/>
                <w:bCs/>
                <w:szCs w:val="21"/>
              </w:rPr>
              <w:t>（注：每家演示时间不超过15分钟，投标人自备演示时所需要手提笔记本等工具，在投标截止日当天，到评标地点等候，演示排名按上传投标文件序号进行，未按时到场的投标人视为放弃演示）。</w:t>
            </w:r>
          </w:p>
        </w:tc>
      </w:tr>
      <w:tr>
        <w:tblPrEx>
          <w:tblW w:w="9639" w:type="dxa"/>
          <w:jc w:val="center"/>
          <w:tblCellMar>
            <w:top w:w="20" w:type="dxa"/>
            <w:left w:w="108" w:type="dxa"/>
            <w:bottom w:w="20" w:type="dxa"/>
            <w:right w:w="108" w:type="dxa"/>
          </w:tblCellMar>
        </w:tblPrEx>
        <w:trPr>
          <w:jc w:val="center"/>
        </w:trPr>
        <w:tc>
          <w:tcPr>
            <w:tcW w:w="680" w:type="dxa"/>
            <w:vMerge w:val="restart"/>
            <w:tcBorders>
              <w:top w:val="single" w:sz="8" w:space="0" w:color="000000"/>
              <w:left w:val="single" w:sz="8" w:space="0" w:color="000000"/>
              <w:right w:val="single" w:sz="8" w:space="0" w:color="000000"/>
            </w:tcBorders>
          </w:tcPr>
          <w:p>
            <w:pPr>
              <w:spacing w:line="360" w:lineRule="exact"/>
              <w:jc w:val="center"/>
              <w:rPr>
                <w:rFonts w:asciiTheme="minorEastAsia" w:eastAsiaTheme="minorEastAsia" w:hAnsiTheme="minorEastAsia" w:cs="宋体"/>
                <w:b/>
                <w:bCs/>
                <w:color w:val="0000FF"/>
                <w:sz w:val="24"/>
                <w:szCs w:val="24"/>
              </w:rPr>
            </w:pPr>
            <w:r>
              <w:rPr>
                <w:rFonts w:asciiTheme="minorEastAsia" w:eastAsiaTheme="minorEastAsia" w:hAnsiTheme="minorEastAsia"/>
                <w:b/>
                <w:bCs/>
                <w:color w:val="0000FF"/>
              </w:rPr>
              <w:t>3</w:t>
            </w:r>
          </w:p>
        </w:tc>
        <w:tc>
          <w:tcPr>
            <w:tcW w:w="4196" w:type="dxa"/>
            <w:gridSpan w:val="3"/>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b/>
                <w:bCs/>
                <w:color w:val="0000FF"/>
                <w:sz w:val="24"/>
                <w:szCs w:val="24"/>
              </w:rPr>
            </w:pPr>
            <w:r>
              <w:rPr>
                <w:rFonts w:asciiTheme="minorEastAsia" w:eastAsiaTheme="minorEastAsia" w:hAnsiTheme="minorEastAsia"/>
                <w:b/>
                <w:bCs/>
                <w:color w:val="0000FF"/>
              </w:rPr>
              <w:t>商务</w:t>
            </w:r>
          </w:p>
        </w:tc>
        <w:tc>
          <w:tcPr>
            <w:tcW w:w="4763"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hint="default"/>
                <w:b/>
                <w:bCs/>
                <w:color w:val="0000FF"/>
                <w:sz w:val="24"/>
                <w:szCs w:val="24"/>
                <w:lang w:val="en-US" w:eastAsia="zh-CN"/>
              </w:rPr>
            </w:pPr>
            <w:r>
              <w:rPr>
                <w:rFonts w:asciiTheme="minorEastAsia" w:eastAsiaTheme="minorEastAsia" w:hAnsiTheme="minorEastAsia" w:hint="eastAsia"/>
                <w:b/>
                <w:bCs/>
                <w:color w:val="0000FF"/>
                <w:lang w:val="en-US" w:eastAsia="zh-CN"/>
              </w:rPr>
              <w:t>20</w:t>
            </w:r>
          </w:p>
        </w:tc>
      </w:tr>
      <w:tr>
        <w:tblPrEx>
          <w:tblW w:w="9639" w:type="dxa"/>
          <w:jc w:val="center"/>
          <w:tblCellMar>
            <w:top w:w="20" w:type="dxa"/>
            <w:left w:w="108" w:type="dxa"/>
            <w:bottom w:w="20" w:type="dxa"/>
            <w:right w:w="108" w:type="dxa"/>
          </w:tblCellMar>
        </w:tblPrEx>
        <w:trPr>
          <w:jc w:val="center"/>
        </w:trPr>
        <w:tc>
          <w:tcPr>
            <w:tcW w:w="0" w:type="auto"/>
            <w:vMerge/>
            <w:tcBorders>
              <w:left w:val="single" w:sz="8" w:space="0" w:color="000000"/>
              <w:right w:val="single" w:sz="8" w:space="0" w:color="000000"/>
            </w:tcBorders>
            <w:vAlign w:val="center"/>
          </w:tcPr>
          <w:p>
            <w:pPr>
              <w:spacing w:line="360" w:lineRule="exact"/>
              <w:rPr>
                <w:rFonts w:asciiTheme="minorEastAsia" w:eastAsiaTheme="minorEastAsia" w:hAnsiTheme="minorEastAsia" w:cs="宋体"/>
                <w:b/>
                <w:bCs/>
                <w:color w:val="0000FF"/>
                <w:sz w:val="24"/>
                <w:szCs w:val="24"/>
              </w:rPr>
            </w:pPr>
          </w:p>
        </w:tc>
        <w:tc>
          <w:tcPr>
            <w:tcW w:w="680" w:type="dxa"/>
            <w:tcBorders>
              <w:top w:val="outset" w:sz="6" w:space="0" w:color="000000"/>
              <w:left w:val="outset" w:sz="6" w:space="0" w:color="000000"/>
              <w:bottom w:val="outset" w:sz="6" w:space="0" w:color="000000"/>
              <w:right w:val="outset" w:sz="6" w:space="0" w:color="000000"/>
            </w:tcBorders>
            <w:shd w:val="clear" w:color="auto" w:fill="E6EFFA"/>
            <w:vAlign w:val="center"/>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序号</w:t>
            </w:r>
          </w:p>
        </w:tc>
        <w:tc>
          <w:tcPr>
            <w:tcW w:w="2835" w:type="dxa"/>
            <w:tcBorders>
              <w:top w:val="outset" w:sz="6" w:space="0" w:color="000000"/>
              <w:left w:val="outset" w:sz="6" w:space="0" w:color="000000"/>
              <w:bottom w:val="outset" w:sz="6" w:space="0" w:color="000000"/>
              <w:right w:val="outset" w:sz="6" w:space="0" w:color="000000"/>
            </w:tcBorders>
            <w:shd w:val="clear" w:color="auto" w:fill="E6EFFA"/>
            <w:vAlign w:val="center"/>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评分因素</w:t>
            </w:r>
          </w:p>
        </w:tc>
        <w:tc>
          <w:tcPr>
            <w:tcW w:w="681" w:type="dxa"/>
            <w:tcBorders>
              <w:top w:val="outset" w:sz="6" w:space="0" w:color="000000"/>
              <w:left w:val="outset" w:sz="6" w:space="0" w:color="000000"/>
              <w:bottom w:val="outset" w:sz="6" w:space="0" w:color="000000"/>
              <w:right w:val="outset" w:sz="6" w:space="0" w:color="000000"/>
            </w:tcBorders>
            <w:shd w:val="clear" w:color="auto" w:fill="E6EFFA"/>
            <w:vAlign w:val="center"/>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权重(%)</w:t>
            </w:r>
          </w:p>
        </w:tc>
        <w:tc>
          <w:tcPr>
            <w:tcW w:w="4763" w:type="dxa"/>
            <w:tcBorders>
              <w:top w:val="outset" w:sz="6" w:space="0" w:color="000000"/>
              <w:left w:val="outset" w:sz="6" w:space="0" w:color="000000"/>
              <w:bottom w:val="outset" w:sz="6" w:space="0" w:color="000000"/>
              <w:right w:val="outset" w:sz="6" w:space="0" w:color="000000"/>
            </w:tcBorders>
            <w:shd w:val="clear" w:color="auto" w:fill="E6EFFA"/>
            <w:vAlign w:val="center"/>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评分准则</w:t>
            </w:r>
          </w:p>
        </w:tc>
      </w:tr>
      <w:tr>
        <w:tblPrEx>
          <w:tblW w:w="9639" w:type="dxa"/>
          <w:jc w:val="center"/>
          <w:tblCellMar>
            <w:top w:w="20" w:type="dxa"/>
            <w:left w:w="108" w:type="dxa"/>
            <w:bottom w:w="20" w:type="dxa"/>
            <w:right w:w="108" w:type="dxa"/>
          </w:tblCellMar>
        </w:tblPrEx>
        <w:trPr>
          <w:trHeight w:val="360"/>
          <w:jc w:val="center"/>
        </w:trPr>
        <w:tc>
          <w:tcPr>
            <w:tcW w:w="0" w:type="auto"/>
            <w:vMerge/>
            <w:tcBorders>
              <w:left w:val="single" w:sz="8" w:space="0" w:color="000000"/>
              <w:right w:val="single" w:sz="8" w:space="0" w:color="000000"/>
            </w:tcBorders>
            <w:vAlign w:val="center"/>
          </w:tcPr>
          <w:p>
            <w:pPr>
              <w:spacing w:line="360" w:lineRule="exact"/>
              <w:rPr>
                <w:rFonts w:asciiTheme="minorEastAsia" w:eastAsiaTheme="minorEastAsia" w:hAnsiTheme="minorEastAsia" w:cs="宋体"/>
                <w:b/>
                <w:bCs/>
                <w:color w:val="0000FF"/>
                <w:sz w:val="24"/>
                <w:szCs w:val="24"/>
              </w:rPr>
            </w:pPr>
          </w:p>
        </w:tc>
        <w:tc>
          <w:tcPr>
            <w:tcW w:w="680"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1</w:t>
            </w:r>
          </w:p>
        </w:tc>
        <w:tc>
          <w:tcPr>
            <w:tcW w:w="2835"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cs="宋体"/>
                <w:szCs w:val="21"/>
              </w:rPr>
            </w:pPr>
            <w:r>
              <w:rPr>
                <w:rFonts w:asciiTheme="minorEastAsia" w:eastAsiaTheme="minorEastAsia" w:hAnsiTheme="minorEastAsia" w:cs="宋体" w:hint="eastAsia"/>
                <w:szCs w:val="21"/>
              </w:rPr>
              <w:t>投标人认证情况</w:t>
            </w:r>
          </w:p>
        </w:tc>
        <w:tc>
          <w:tcPr>
            <w:tcW w:w="681"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cs="宋体" w:hint="eastAsia"/>
                <w:szCs w:val="21"/>
              </w:rPr>
              <w:t>10</w:t>
            </w:r>
          </w:p>
        </w:tc>
        <w:tc>
          <w:tcPr>
            <w:tcW w:w="4763"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一、评审内容：</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投标人具有:</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1.具有质量管理体系认证证书，且认证范围含有“明厨亮灶”类或“</w:t>
            </w:r>
            <w:r>
              <w:rPr>
                <w:rFonts w:hint="eastAsia"/>
                <w:lang w:eastAsia="zh-CN"/>
              </w:rPr>
              <w:t>食品安全运维</w:t>
            </w:r>
            <w:r>
              <w:rPr>
                <w:rFonts w:asciiTheme="minorEastAsia" w:eastAsiaTheme="minorEastAsia" w:hAnsiTheme="minorEastAsia" w:hint="eastAsia"/>
                <w:szCs w:val="21"/>
              </w:rPr>
              <w:t>”类相关内容并在有效期内，得40分；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2）具有环境管理体系认证证书，且认证范围含有“明厨亮灶”类或“</w:t>
            </w:r>
            <w:r>
              <w:rPr>
                <w:rFonts w:hint="eastAsia"/>
                <w:lang w:eastAsia="zh-CN"/>
              </w:rPr>
              <w:t>食品安全运维</w:t>
            </w:r>
            <w:r>
              <w:rPr>
                <w:rFonts w:asciiTheme="minorEastAsia" w:eastAsiaTheme="minorEastAsia" w:hAnsiTheme="minorEastAsia" w:hint="eastAsia"/>
                <w:szCs w:val="21"/>
              </w:rPr>
              <w:t>”类相关内容并在有效期内，得30分；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3）具有职业健康安全管理体系认证证书，且认证范围含有“明厨亮灶”类或“</w:t>
            </w:r>
            <w:r>
              <w:rPr>
                <w:rFonts w:hint="eastAsia"/>
                <w:lang w:eastAsia="zh-CN"/>
              </w:rPr>
              <w:t>食品安全运维</w:t>
            </w:r>
            <w:r>
              <w:rPr>
                <w:rFonts w:asciiTheme="minorEastAsia" w:eastAsiaTheme="minorEastAsia" w:hAnsiTheme="minorEastAsia" w:hint="eastAsia"/>
                <w:szCs w:val="21"/>
              </w:rPr>
              <w:t>”类相关内容并在有效期内，得30分。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二、评分标准：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1.提供有效认证证书（如认证证书注明年审要求的，必须按规定年审且证书在有效期内的方为有效；如未注明年审要求的，证书必须在有效期内的方为有效）；</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2.提供证书官网或权威机构【如：全国认证认可信息公共服务平台（cx.cnca.cn）】认证信息查询截图（截图需显示证书状态为有效）。相关证书在公开渠道无法查询的，投标人需提供颁发部门或者监管机构的证明材料，证明证书真实有效且为合法机构颁发；</w:t>
            </w:r>
          </w:p>
          <w:p>
            <w:pPr>
              <w:spacing w:line="360" w:lineRule="exact"/>
              <w:jc w:val="left"/>
              <w:rPr>
                <w:rFonts w:asciiTheme="minorEastAsia" w:eastAsiaTheme="minorEastAsia" w:hAnsiTheme="minorEastAsia" w:hint="eastAsia"/>
                <w:szCs w:val="21"/>
              </w:rPr>
            </w:pPr>
            <w:r>
              <w:rPr>
                <w:rFonts w:asciiTheme="minorEastAsia" w:eastAsiaTheme="minorEastAsia" w:hAnsiTheme="minorEastAsia" w:hint="eastAsia"/>
                <w:szCs w:val="21"/>
              </w:rPr>
              <w:t>3.如投标人成立时间不足三个月，可提供情况说明作为佐证材料，无需提供证书和认证信息查询截图亦视为满足评分要求；</w:t>
            </w:r>
          </w:p>
          <w:p>
            <w:pPr>
              <w:spacing w:line="360" w:lineRule="exact"/>
              <w:jc w:val="left"/>
              <w:rPr>
                <w:rFonts w:asciiTheme="minorEastAsia" w:eastAsiaTheme="minorEastAsia" w:hAnsiTheme="minorEastAsia" w:hint="eastAsia"/>
                <w:szCs w:val="21"/>
              </w:rPr>
            </w:pPr>
            <w:r>
              <w:rPr>
                <w:rFonts w:asciiTheme="minorEastAsia" w:eastAsiaTheme="minorEastAsia" w:hAnsiTheme="minorEastAsia" w:hint="eastAsia"/>
                <w:szCs w:val="21"/>
                <w:lang w:val="en-US" w:eastAsia="zh-CN"/>
              </w:rPr>
              <w:t>4.</w:t>
            </w:r>
            <w:r>
              <w:rPr>
                <w:rFonts w:asciiTheme="minorEastAsia" w:eastAsiaTheme="minorEastAsia" w:hAnsiTheme="minorEastAsia" w:hint="eastAsia"/>
                <w:szCs w:val="21"/>
              </w:rPr>
              <w:t>提供以上证明文件扫描件，如涉及网站截图或照片等证明材料，需提供清晰图片。对于未提供证明文件，未提供查询记录且无其他证明材料的，或者提供不清晰导致评委无法判断的，均作不得分处理。</w:t>
            </w:r>
          </w:p>
          <w:p>
            <w:pPr>
              <w:spacing w:line="360" w:lineRule="exact"/>
              <w:jc w:val="left"/>
              <w:rPr>
                <w:rFonts w:asciiTheme="minorEastAsia" w:eastAsiaTheme="minorEastAsia" w:hAnsiTheme="minorEastAsia" w:cs="宋体"/>
                <w:szCs w:val="21"/>
              </w:rPr>
            </w:pPr>
            <w:r>
              <w:rPr>
                <w:rFonts w:hint="eastAsia"/>
                <w:b/>
                <w:bCs/>
                <w:highlight w:val="yellow"/>
              </w:rPr>
              <w:t>注：若为联合体投标，联合体中任一方满足评分要求均可得分。</w:t>
            </w:r>
          </w:p>
        </w:tc>
      </w:tr>
      <w:tr>
        <w:tblPrEx>
          <w:tblW w:w="9639" w:type="dxa"/>
          <w:jc w:val="center"/>
          <w:tblCellMar>
            <w:top w:w="20" w:type="dxa"/>
            <w:left w:w="108" w:type="dxa"/>
            <w:bottom w:w="20" w:type="dxa"/>
            <w:right w:w="108" w:type="dxa"/>
          </w:tblCellMar>
        </w:tblPrEx>
        <w:trPr>
          <w:trHeight w:val="318"/>
          <w:jc w:val="center"/>
        </w:trPr>
        <w:tc>
          <w:tcPr>
            <w:tcW w:w="0" w:type="auto"/>
            <w:vMerge/>
            <w:tcBorders>
              <w:left w:val="single" w:sz="8" w:space="0" w:color="000000"/>
              <w:right w:val="single" w:sz="8" w:space="0" w:color="000000"/>
            </w:tcBorders>
            <w:vAlign w:val="center"/>
          </w:tcPr>
          <w:p>
            <w:pPr>
              <w:spacing w:line="360" w:lineRule="exact"/>
              <w:rPr>
                <w:rFonts w:asciiTheme="minorEastAsia" w:eastAsiaTheme="minorEastAsia" w:hAnsiTheme="minorEastAsia" w:cs="宋体"/>
                <w:b/>
                <w:bCs/>
                <w:color w:val="0000FF"/>
                <w:sz w:val="24"/>
                <w:szCs w:val="24"/>
              </w:rPr>
            </w:pPr>
          </w:p>
        </w:tc>
        <w:tc>
          <w:tcPr>
            <w:tcW w:w="680"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2</w:t>
            </w:r>
          </w:p>
        </w:tc>
        <w:tc>
          <w:tcPr>
            <w:tcW w:w="2835"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cs="宋体"/>
                <w:szCs w:val="21"/>
              </w:rPr>
            </w:pPr>
            <w:r>
              <w:rPr>
                <w:rFonts w:asciiTheme="minorEastAsia" w:eastAsiaTheme="minorEastAsia" w:hAnsiTheme="minorEastAsia" w:cs="宋体" w:hint="eastAsia"/>
                <w:szCs w:val="21"/>
              </w:rPr>
              <w:t>同类项目业绩</w:t>
            </w:r>
          </w:p>
        </w:tc>
        <w:tc>
          <w:tcPr>
            <w:tcW w:w="681"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cs="宋体" w:hint="eastAsia"/>
                <w:szCs w:val="21"/>
              </w:rPr>
              <w:t>10</w:t>
            </w:r>
          </w:p>
        </w:tc>
        <w:tc>
          <w:tcPr>
            <w:tcW w:w="4763"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评审内容：</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投标人自2020年1月1日至</w:t>
            </w:r>
            <w:r>
              <w:rPr>
                <w:rFonts w:asciiTheme="minorEastAsia" w:eastAsiaTheme="minorEastAsia" w:hAnsiTheme="minorEastAsia" w:cs="宋体" w:hint="eastAsia"/>
                <w:szCs w:val="21"/>
                <w:lang w:val="en-US" w:eastAsia="zh-CN"/>
              </w:rPr>
              <w:t>本项目</w:t>
            </w:r>
            <w:r>
              <w:rPr>
                <w:rFonts w:asciiTheme="minorEastAsia" w:hAnsiTheme="minorEastAsia" w:hint="eastAsia"/>
                <w:kern w:val="2"/>
                <w:sz w:val="21"/>
                <w:szCs w:val="21"/>
              </w:rPr>
              <w:t>投标截止日止（以合同签订日期为准）</w:t>
            </w:r>
            <w:r>
              <w:rPr>
                <w:rFonts w:asciiTheme="minorEastAsia" w:eastAsiaTheme="minorEastAsia" w:hAnsiTheme="minorEastAsia" w:cs="宋体" w:hint="eastAsia"/>
                <w:szCs w:val="21"/>
              </w:rPr>
              <w:t>，具有“互联网+明厨亮灶”同类项目业绩（建设或运维）的案例，每提供一个得50分，最高得100分。</w:t>
            </w:r>
          </w:p>
          <w:p>
            <w:pPr>
              <w:spacing w:line="360" w:lineRule="exact"/>
              <w:rPr>
                <w:rFonts w:asciiTheme="minorEastAsia" w:eastAsiaTheme="minorEastAsia" w:hAnsiTheme="minorEastAsia" w:cs="宋体" w:hint="eastAsia"/>
                <w:b/>
                <w:bCs/>
                <w:szCs w:val="21"/>
                <w:lang w:val="en-US" w:eastAsia="zh-CN"/>
              </w:rPr>
            </w:pPr>
            <w:r>
              <w:rPr>
                <w:rFonts w:asciiTheme="minorEastAsia" w:eastAsiaTheme="minorEastAsia" w:hAnsiTheme="minorEastAsia" w:cs="宋体" w:hint="eastAsia"/>
                <w:b/>
                <w:bCs/>
                <w:szCs w:val="21"/>
                <w:lang w:val="en-US" w:eastAsia="zh-CN"/>
              </w:rPr>
              <w:t>注：同一项目续签合同的不可重复得分。</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评分标准：</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1.提供合同关键页（关键信息包括但不仅限于合同的项目名称、服务内容、合同签订日期、甲乙双方签字盖章页）且提供的材料各项信息不得有任何遮挡；</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2.通过合同关键信息无法判断是否得分的，还需提供能证明得分的其它证明资料，如项目报告或合同甲方出具的证明文件；</w:t>
            </w:r>
          </w:p>
          <w:p>
            <w:pPr>
              <w:spacing w:line="360" w:lineRule="exact"/>
              <w:rPr>
                <w:rFonts w:asciiTheme="minorEastAsia" w:eastAsiaTheme="minorEastAsia" w:hAnsiTheme="minorEastAsia" w:cs="宋体" w:hint="eastAsia"/>
                <w:szCs w:val="21"/>
              </w:rPr>
            </w:pPr>
            <w:r>
              <w:rPr>
                <w:rFonts w:asciiTheme="minorEastAsia" w:eastAsiaTheme="minorEastAsia" w:hAnsiTheme="minorEastAsia" w:cs="宋体" w:hint="eastAsia"/>
                <w:szCs w:val="21"/>
              </w:rPr>
              <w:t>3. 以上证明文件均提供扫描件。未按要求提供有效证明材料或提供不清晰导致评委无法识别的不计得分。</w:t>
            </w:r>
          </w:p>
          <w:p>
            <w:pPr>
              <w:spacing w:line="360" w:lineRule="exact"/>
              <w:rPr>
                <w:rFonts w:asciiTheme="minorEastAsia" w:eastAsiaTheme="minorEastAsia" w:hAnsiTheme="minorEastAsia" w:cs="宋体"/>
                <w:szCs w:val="21"/>
              </w:rPr>
            </w:pPr>
            <w:r>
              <w:rPr>
                <w:rFonts w:hint="eastAsia"/>
                <w:b/>
                <w:bCs/>
                <w:highlight w:val="yellow"/>
              </w:rPr>
              <w:t>注：若为联合体投标，联合体中任一方满足评分要求均可得分。</w:t>
            </w:r>
          </w:p>
        </w:tc>
      </w:tr>
      <w:tr>
        <w:tblPrEx>
          <w:tblW w:w="9639" w:type="dxa"/>
          <w:jc w:val="center"/>
          <w:tblCellMar>
            <w:top w:w="20" w:type="dxa"/>
            <w:left w:w="108" w:type="dxa"/>
            <w:bottom w:w="20" w:type="dxa"/>
            <w:right w:w="108" w:type="dxa"/>
          </w:tblCellMar>
        </w:tblPrEx>
        <w:trPr>
          <w:jc w:val="center"/>
        </w:trPr>
        <w:tc>
          <w:tcPr>
            <w:tcW w:w="680" w:type="dxa"/>
            <w:vMerge w:val="restart"/>
            <w:tcBorders>
              <w:top w:val="single" w:sz="8" w:space="0" w:color="000000"/>
              <w:left w:val="single" w:sz="8" w:space="0" w:color="000000"/>
              <w:right w:val="single" w:sz="8" w:space="0" w:color="000000"/>
            </w:tcBorders>
          </w:tcPr>
          <w:p>
            <w:pPr>
              <w:spacing w:line="360" w:lineRule="exact"/>
              <w:jc w:val="center"/>
              <w:rPr>
                <w:rFonts w:asciiTheme="minorEastAsia" w:eastAsiaTheme="minorEastAsia" w:hAnsiTheme="minorEastAsia" w:cs="宋体"/>
                <w:b/>
                <w:bCs/>
                <w:color w:val="0000FF"/>
                <w:sz w:val="24"/>
                <w:szCs w:val="24"/>
              </w:rPr>
            </w:pPr>
            <w:r>
              <w:rPr>
                <w:rFonts w:asciiTheme="minorEastAsia" w:eastAsiaTheme="minorEastAsia" w:hAnsiTheme="minorEastAsia" w:hint="eastAsia"/>
                <w:b/>
                <w:bCs/>
                <w:color w:val="0000FF"/>
              </w:rPr>
              <w:t>4</w:t>
            </w:r>
          </w:p>
        </w:tc>
        <w:tc>
          <w:tcPr>
            <w:tcW w:w="4196" w:type="dxa"/>
            <w:gridSpan w:val="3"/>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b/>
                <w:bCs/>
                <w:color w:val="0000FF"/>
                <w:sz w:val="24"/>
                <w:szCs w:val="24"/>
              </w:rPr>
            </w:pPr>
            <w:r>
              <w:rPr>
                <w:rFonts w:asciiTheme="minorEastAsia" w:eastAsiaTheme="minorEastAsia" w:hAnsiTheme="minorEastAsia" w:hint="eastAsia"/>
                <w:b/>
                <w:bCs/>
                <w:color w:val="0000FF"/>
              </w:rPr>
              <w:t>其他</w:t>
            </w:r>
          </w:p>
        </w:tc>
        <w:tc>
          <w:tcPr>
            <w:tcW w:w="4763"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b/>
                <w:bCs/>
                <w:color w:val="0000FF"/>
                <w:sz w:val="24"/>
                <w:szCs w:val="24"/>
              </w:rPr>
            </w:pPr>
            <w:r>
              <w:rPr>
                <w:rFonts w:asciiTheme="minorEastAsia" w:eastAsiaTheme="minorEastAsia" w:hAnsiTheme="minorEastAsia" w:hint="eastAsia"/>
                <w:b/>
                <w:bCs/>
                <w:color w:val="0000FF"/>
              </w:rPr>
              <w:t>5</w:t>
            </w:r>
          </w:p>
        </w:tc>
      </w:tr>
      <w:tr>
        <w:tblPrEx>
          <w:tblW w:w="9639" w:type="dxa"/>
          <w:jc w:val="center"/>
          <w:tblCellMar>
            <w:top w:w="20" w:type="dxa"/>
            <w:left w:w="108" w:type="dxa"/>
            <w:bottom w:w="20" w:type="dxa"/>
            <w:right w:w="108" w:type="dxa"/>
          </w:tblCellMar>
        </w:tblPrEx>
        <w:trPr>
          <w:jc w:val="center"/>
        </w:trPr>
        <w:tc>
          <w:tcPr>
            <w:tcW w:w="0" w:type="auto"/>
            <w:vMerge/>
            <w:tcBorders>
              <w:left w:val="single" w:sz="8" w:space="0" w:color="000000"/>
              <w:right w:val="single" w:sz="8" w:space="0" w:color="000000"/>
            </w:tcBorders>
            <w:vAlign w:val="center"/>
          </w:tcPr>
          <w:p>
            <w:pPr>
              <w:spacing w:line="360" w:lineRule="exact"/>
              <w:rPr>
                <w:rFonts w:asciiTheme="minorEastAsia" w:eastAsiaTheme="minorEastAsia" w:hAnsiTheme="minorEastAsia" w:cs="宋体"/>
                <w:b/>
                <w:bCs/>
                <w:color w:val="0000FF"/>
                <w:sz w:val="24"/>
                <w:szCs w:val="24"/>
              </w:rPr>
            </w:pPr>
          </w:p>
        </w:tc>
        <w:tc>
          <w:tcPr>
            <w:tcW w:w="680" w:type="dxa"/>
            <w:tcBorders>
              <w:top w:val="outset" w:sz="6" w:space="0" w:color="000000"/>
              <w:left w:val="outset" w:sz="6" w:space="0" w:color="000000"/>
              <w:bottom w:val="outset" w:sz="6" w:space="0" w:color="000000"/>
              <w:right w:val="outset" w:sz="6" w:space="0" w:color="000000"/>
            </w:tcBorders>
            <w:shd w:val="clear" w:color="auto" w:fill="E6EFFA"/>
            <w:vAlign w:val="center"/>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序号</w:t>
            </w:r>
          </w:p>
        </w:tc>
        <w:tc>
          <w:tcPr>
            <w:tcW w:w="2835" w:type="dxa"/>
            <w:tcBorders>
              <w:top w:val="outset" w:sz="6" w:space="0" w:color="000000"/>
              <w:left w:val="outset" w:sz="6" w:space="0" w:color="000000"/>
              <w:bottom w:val="outset" w:sz="6" w:space="0" w:color="000000"/>
              <w:right w:val="outset" w:sz="6" w:space="0" w:color="000000"/>
            </w:tcBorders>
            <w:shd w:val="clear" w:color="auto" w:fill="E6EFFA"/>
            <w:vAlign w:val="center"/>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评分因素</w:t>
            </w:r>
          </w:p>
        </w:tc>
        <w:tc>
          <w:tcPr>
            <w:tcW w:w="681" w:type="dxa"/>
            <w:tcBorders>
              <w:top w:val="outset" w:sz="6" w:space="0" w:color="000000"/>
              <w:left w:val="outset" w:sz="6" w:space="0" w:color="000000"/>
              <w:bottom w:val="outset" w:sz="6" w:space="0" w:color="000000"/>
              <w:right w:val="outset" w:sz="6" w:space="0" w:color="000000"/>
            </w:tcBorders>
            <w:shd w:val="clear" w:color="auto" w:fill="E6EFFA"/>
            <w:vAlign w:val="center"/>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权重(%)</w:t>
            </w:r>
          </w:p>
        </w:tc>
        <w:tc>
          <w:tcPr>
            <w:tcW w:w="4763" w:type="dxa"/>
            <w:tcBorders>
              <w:top w:val="outset" w:sz="6" w:space="0" w:color="000000"/>
              <w:left w:val="outset" w:sz="6" w:space="0" w:color="000000"/>
              <w:bottom w:val="outset" w:sz="6" w:space="0" w:color="000000"/>
              <w:right w:val="outset" w:sz="6" w:space="0" w:color="000000"/>
            </w:tcBorders>
            <w:shd w:val="clear" w:color="auto" w:fill="E6EFFA"/>
            <w:vAlign w:val="center"/>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评分准则</w:t>
            </w:r>
          </w:p>
        </w:tc>
      </w:tr>
      <w:tr>
        <w:tblPrEx>
          <w:tblW w:w="9639" w:type="dxa"/>
          <w:jc w:val="center"/>
          <w:tblCellMar>
            <w:top w:w="20" w:type="dxa"/>
            <w:left w:w="108" w:type="dxa"/>
            <w:bottom w:w="20" w:type="dxa"/>
            <w:right w:w="108" w:type="dxa"/>
          </w:tblCellMar>
        </w:tblPrEx>
        <w:trPr>
          <w:jc w:val="center"/>
        </w:trPr>
        <w:tc>
          <w:tcPr>
            <w:tcW w:w="0" w:type="auto"/>
            <w:vMerge/>
            <w:tcBorders>
              <w:left w:val="single" w:sz="8" w:space="0" w:color="000000"/>
              <w:right w:val="single" w:sz="8" w:space="0" w:color="000000"/>
            </w:tcBorders>
            <w:vAlign w:val="center"/>
          </w:tcPr>
          <w:p>
            <w:pPr>
              <w:spacing w:line="360" w:lineRule="exact"/>
              <w:rPr>
                <w:rFonts w:asciiTheme="minorEastAsia" w:eastAsiaTheme="minorEastAsia" w:hAnsiTheme="minorEastAsia" w:cs="宋体"/>
                <w:b/>
                <w:bCs/>
                <w:color w:val="0000FF"/>
                <w:sz w:val="24"/>
                <w:szCs w:val="24"/>
              </w:rPr>
            </w:pPr>
          </w:p>
        </w:tc>
        <w:tc>
          <w:tcPr>
            <w:tcW w:w="680"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hint="eastAsia"/>
                <w:szCs w:val="21"/>
              </w:rPr>
              <w:t>1</w:t>
            </w:r>
          </w:p>
        </w:tc>
        <w:tc>
          <w:tcPr>
            <w:tcW w:w="2835"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cs="宋体"/>
                <w:szCs w:val="21"/>
              </w:rPr>
            </w:pPr>
            <w:r>
              <w:rPr>
                <w:rFonts w:asciiTheme="minorEastAsia" w:eastAsiaTheme="minorEastAsia" w:hAnsiTheme="minorEastAsia"/>
                <w:szCs w:val="21"/>
              </w:rPr>
              <w:t>诚信</w:t>
            </w:r>
            <w:r>
              <w:rPr>
                <w:rFonts w:asciiTheme="minorEastAsia" w:eastAsiaTheme="minorEastAsia" w:hAnsiTheme="minorEastAsia" w:hint="eastAsia"/>
                <w:szCs w:val="21"/>
              </w:rPr>
              <w:t>评审</w:t>
            </w:r>
          </w:p>
        </w:tc>
        <w:tc>
          <w:tcPr>
            <w:tcW w:w="681" w:type="dxa"/>
            <w:tcBorders>
              <w:top w:val="single" w:sz="8" w:space="0" w:color="000000"/>
              <w:left w:val="single" w:sz="8" w:space="0" w:color="000000"/>
              <w:bottom w:val="single" w:sz="8" w:space="0" w:color="000000"/>
              <w:right w:val="single" w:sz="8" w:space="0" w:color="000000"/>
            </w:tcBorders>
          </w:tcPr>
          <w:p>
            <w:pPr>
              <w:spacing w:line="360" w:lineRule="exact"/>
              <w:jc w:val="center"/>
              <w:rPr>
                <w:rFonts w:asciiTheme="minorEastAsia" w:eastAsiaTheme="minorEastAsia" w:hAnsiTheme="minorEastAsia" w:cs="宋体"/>
                <w:szCs w:val="21"/>
              </w:rPr>
            </w:pPr>
            <w:r>
              <w:rPr>
                <w:rFonts w:asciiTheme="minorEastAsia" w:eastAsiaTheme="minorEastAsia" w:hAnsiTheme="minorEastAsia"/>
                <w:szCs w:val="21"/>
              </w:rPr>
              <w:t>5</w:t>
            </w:r>
          </w:p>
        </w:tc>
        <w:tc>
          <w:tcPr>
            <w:tcW w:w="4763" w:type="dxa"/>
            <w:tcBorders>
              <w:top w:val="single" w:sz="8" w:space="0" w:color="000000"/>
              <w:left w:val="single" w:sz="8" w:space="0" w:color="000000"/>
              <w:bottom w:val="single" w:sz="8" w:space="0" w:color="000000"/>
              <w:right w:val="single" w:sz="8" w:space="0" w:color="000000"/>
            </w:tcBorders>
          </w:tcPr>
          <w:p>
            <w:pPr>
              <w:spacing w:line="360" w:lineRule="exact"/>
              <w:rPr>
                <w:rFonts w:asciiTheme="minorEastAsia" w:eastAsiaTheme="minorEastAsia" w:hAnsiTheme="minorEastAsia"/>
                <w:szCs w:val="21"/>
              </w:rPr>
            </w:pPr>
            <w:r>
              <w:rPr>
                <w:rFonts w:asciiTheme="minorEastAsia" w:eastAsiaTheme="minorEastAsia" w:hAnsiTheme="minorEastAsia" w:hint="eastAsia"/>
                <w:szCs w:val="21"/>
              </w:rPr>
              <w:t>根据《深圳市财政局关于印发&lt;深圳市财政局政府采购供应商信用信息管理办法&gt;的通知》（深财规〔2023〕3号）相关规定，如供应商在全国范围内存在因政府采购违法、违规行为受到财政部门罚款等一般行政处罚信息，或者存在该办法第十一条所称在本市集中采购活动中的一般违法失信行为记录信息，且在公示期内的，本项不得分，否则得100分。</w:t>
            </w:r>
          </w:p>
          <w:p>
            <w:pPr>
              <w:spacing w:line="360" w:lineRule="exact"/>
              <w:rPr>
                <w:rFonts w:asciiTheme="minorEastAsia" w:eastAsiaTheme="minorEastAsia" w:hAnsiTheme="minorEastAsia" w:hint="eastAsia"/>
                <w:szCs w:val="21"/>
              </w:rPr>
            </w:pPr>
            <w:r>
              <w:rPr>
                <w:rFonts w:asciiTheme="minorEastAsia" w:eastAsiaTheme="minorEastAsia" w:hAnsiTheme="minorEastAsia" w:hint="eastAsia"/>
                <w:szCs w:val="21"/>
              </w:rPr>
              <w:t>（采购代理机构通过“信用中国”、“中国政府采购网”、“深圳市政府采购监管网”以及市、区财政部门认定的其他渠道查询供应商信用信息，投标人无需提供证明材料。）</w:t>
            </w:r>
          </w:p>
          <w:p>
            <w:pPr>
              <w:spacing w:line="360" w:lineRule="exact"/>
              <w:rPr>
                <w:rFonts w:asciiTheme="minorEastAsia" w:eastAsiaTheme="minorEastAsia" w:hAnsiTheme="minorEastAsia" w:cs="宋体"/>
                <w:szCs w:val="21"/>
              </w:rPr>
            </w:pPr>
            <w:r>
              <w:rPr>
                <w:rFonts w:ascii="宋体" w:hAnsi="宋体" w:hint="eastAsia"/>
                <w:b/>
                <w:bCs/>
                <w:szCs w:val="21"/>
                <w:highlight w:val="yellow"/>
              </w:rPr>
              <w:t>注：若为联合体投标，要求联合体中各方均满足评分要求才能得分。</w:t>
            </w:r>
          </w:p>
        </w:tc>
      </w:tr>
    </w:tbl>
    <w:p>
      <w:pPr>
        <w:widowControl/>
        <w:jc w:val="left"/>
        <w:rPr>
          <w:rFonts w:asciiTheme="minorEastAsia" w:eastAsiaTheme="minorEastAsia" w:hAnsiTheme="minorEastAsia"/>
          <w:b/>
          <w:bCs/>
          <w:kern w:val="44"/>
          <w:sz w:val="28"/>
          <w:szCs w:val="44"/>
        </w:rPr>
      </w:pPr>
      <w:r>
        <w:rPr>
          <w:rFonts w:asciiTheme="minorEastAsia" w:eastAsiaTheme="minorEastAsia" w:hAnsiTheme="minorEastAsia"/>
        </w:rPr>
        <w:br w:type="page"/>
      </w:r>
    </w:p>
    <w:p>
      <w:pPr>
        <w:pStyle w:val="Heading1"/>
        <w:spacing w:before="0" w:after="0"/>
        <w:rPr>
          <w:rFonts w:asciiTheme="minorEastAsia" w:eastAsiaTheme="minorEastAsia" w:hAnsiTheme="minorEastAsia"/>
          <w:b/>
          <w:bCs/>
        </w:rPr>
      </w:pPr>
      <w:r>
        <w:rPr>
          <w:rFonts w:asciiTheme="minorEastAsia" w:eastAsiaTheme="minorEastAsia" w:hAnsiTheme="minorEastAsia" w:hint="eastAsia"/>
          <w:b/>
          <w:bCs/>
        </w:rPr>
        <w:t>其它关键信息</w:t>
      </w:r>
    </w:p>
    <w:p>
      <w:pPr>
        <w:spacing w:line="360" w:lineRule="auto"/>
        <w:ind w:firstLine="412" w:firstLineChars="196"/>
        <w:rPr>
          <w:rFonts w:ascii="宋体" w:hAnsi="宋体"/>
          <w:szCs w:val="21"/>
        </w:rPr>
      </w:pPr>
      <w:r>
        <w:rPr>
          <w:rFonts w:ascii="宋体" w:hAnsi="宋体" w:hint="eastAsia"/>
          <w:b/>
          <w:szCs w:val="21"/>
        </w:rPr>
        <w:t>一</w:t>
      </w:r>
      <w:r>
        <w:rPr>
          <w:rFonts w:asciiTheme="minorEastAsia" w:eastAsiaTheme="minorEastAsia" w:hAnsiTheme="minorEastAsia" w:hint="eastAsia"/>
          <w:b/>
          <w:szCs w:val="21"/>
        </w:rPr>
        <w:t>、</w:t>
      </w:r>
      <w:r>
        <w:rPr>
          <w:rFonts w:hint="eastAsia"/>
          <w:b/>
          <w:szCs w:val="21"/>
        </w:rPr>
        <w:t>评标定标信息</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blGrid>
        <w:gridCol w:w="4264"/>
        <w:gridCol w:w="4265"/>
      </w:tblGrid>
      <w:tr>
        <w:tblPrEx>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Ex>
        <w:trPr>
          <w:jc w:val="center"/>
        </w:trPr>
        <w:tc>
          <w:tcPr>
            <w:tcW w:w="4264" w:type="dxa"/>
          </w:tcPr>
          <w:p>
            <w:pPr>
              <w:spacing w:after="60"/>
              <w:jc w:val="center"/>
              <w:rPr>
                <w:rFonts w:asciiTheme="minorEastAsia" w:eastAsiaTheme="minorEastAsia" w:hAnsiTheme="minorEastAsia"/>
                <w:szCs w:val="21"/>
              </w:rPr>
            </w:pPr>
            <w:r>
              <w:rPr>
                <w:rFonts w:asciiTheme="minorEastAsia" w:eastAsiaTheme="minorEastAsia" w:hAnsiTheme="minorEastAsia" w:hint="eastAsia"/>
                <w:szCs w:val="21"/>
              </w:rPr>
              <w:t>是否评标定标分离</w:t>
            </w:r>
          </w:p>
        </w:tc>
        <w:tc>
          <w:tcPr>
            <w:tcW w:w="4265" w:type="dxa"/>
          </w:tcPr>
          <w:p>
            <w:pPr>
              <w:spacing w:after="60"/>
              <w:jc w:val="center"/>
              <w:rPr>
                <w:rFonts w:asciiTheme="minorEastAsia" w:eastAsiaTheme="minorEastAsia" w:hAnsiTheme="minorEastAsia"/>
                <w:szCs w:val="21"/>
              </w:rPr>
            </w:pPr>
            <w:r>
              <w:rPr>
                <w:rFonts w:asciiTheme="minorEastAsia" w:eastAsiaTheme="minorEastAsia" w:hAnsiTheme="minorEastAsia" w:hint="eastAsia"/>
                <w:szCs w:val="21"/>
              </w:rPr>
              <w:t>非评定分离</w:t>
            </w:r>
          </w:p>
        </w:tc>
      </w:tr>
      <w:tr>
        <w:tblPrEx>
          <w:tblW w:w="0" w:type="auto"/>
          <w:jc w:val="center"/>
          <w:tblCellMar>
            <w:top w:w="0" w:type="dxa"/>
            <w:left w:w="108" w:type="dxa"/>
            <w:bottom w:w="0" w:type="dxa"/>
            <w:right w:w="108" w:type="dxa"/>
          </w:tblCellMar>
        </w:tblPrEx>
        <w:trPr>
          <w:jc w:val="center"/>
        </w:trPr>
        <w:tc>
          <w:tcPr>
            <w:tcW w:w="4264" w:type="dxa"/>
          </w:tcPr>
          <w:p>
            <w:pPr>
              <w:spacing w:after="60"/>
              <w:jc w:val="center"/>
              <w:rPr>
                <w:rFonts w:asciiTheme="minorEastAsia" w:eastAsiaTheme="minorEastAsia" w:hAnsiTheme="minorEastAsia"/>
                <w:szCs w:val="21"/>
              </w:rPr>
            </w:pPr>
            <w:r>
              <w:rPr>
                <w:rFonts w:asciiTheme="minorEastAsia" w:eastAsiaTheme="minorEastAsia" w:hAnsiTheme="minorEastAsia" w:hint="eastAsia"/>
                <w:szCs w:val="21"/>
              </w:rPr>
              <w:t>定标方法</w:t>
            </w:r>
          </w:p>
        </w:tc>
        <w:tc>
          <w:tcPr>
            <w:tcW w:w="4265" w:type="dxa"/>
          </w:tcPr>
          <w:p>
            <w:pPr>
              <w:spacing w:after="60"/>
              <w:jc w:val="center"/>
              <w:rPr>
                <w:rFonts w:asciiTheme="minorEastAsia" w:eastAsiaTheme="minorEastAsia" w:hAnsiTheme="minorEastAsia"/>
                <w:szCs w:val="21"/>
              </w:rPr>
            </w:pPr>
            <w:r>
              <w:rPr>
                <w:rFonts w:asciiTheme="minorEastAsia" w:eastAsiaTheme="minorEastAsia" w:hAnsiTheme="minorEastAsia" w:hint="eastAsia"/>
                <w:szCs w:val="21"/>
              </w:rPr>
              <w:t>/</w:t>
            </w:r>
          </w:p>
        </w:tc>
      </w:tr>
      <w:tr>
        <w:tblPrEx>
          <w:tblW w:w="0" w:type="auto"/>
          <w:jc w:val="center"/>
          <w:tblCellMar>
            <w:top w:w="0" w:type="dxa"/>
            <w:left w:w="108" w:type="dxa"/>
            <w:bottom w:w="0" w:type="dxa"/>
            <w:right w:w="108" w:type="dxa"/>
          </w:tblCellMar>
        </w:tblPrEx>
        <w:trPr>
          <w:jc w:val="center"/>
        </w:trPr>
        <w:tc>
          <w:tcPr>
            <w:tcW w:w="4264" w:type="dxa"/>
          </w:tcPr>
          <w:p>
            <w:pPr>
              <w:spacing w:after="60"/>
              <w:jc w:val="center"/>
              <w:rPr>
                <w:rFonts w:asciiTheme="minorEastAsia" w:eastAsiaTheme="minorEastAsia" w:hAnsiTheme="minorEastAsia"/>
                <w:szCs w:val="21"/>
              </w:rPr>
            </w:pPr>
            <w:r>
              <w:rPr>
                <w:rFonts w:asciiTheme="minorEastAsia" w:eastAsiaTheme="minorEastAsia" w:hAnsiTheme="minorEastAsia" w:hint="eastAsia"/>
                <w:szCs w:val="21"/>
              </w:rPr>
              <w:t>评标方法</w:t>
            </w:r>
          </w:p>
        </w:tc>
        <w:tc>
          <w:tcPr>
            <w:tcW w:w="4265" w:type="dxa"/>
          </w:tcPr>
          <w:p>
            <w:pPr>
              <w:spacing w:after="60"/>
              <w:jc w:val="center"/>
              <w:rPr>
                <w:rFonts w:asciiTheme="minorEastAsia" w:eastAsiaTheme="minorEastAsia" w:hAnsiTheme="minorEastAsia"/>
                <w:szCs w:val="21"/>
              </w:rPr>
            </w:pPr>
            <w:r>
              <w:rPr>
                <w:rFonts w:asciiTheme="minorEastAsia" w:eastAsiaTheme="minorEastAsia" w:hAnsiTheme="minorEastAsia" w:hint="eastAsia"/>
                <w:szCs w:val="21"/>
              </w:rPr>
              <w:t>综合评分法</w:t>
            </w:r>
          </w:p>
        </w:tc>
      </w:tr>
      <w:tr>
        <w:tblPrEx>
          <w:tblW w:w="0" w:type="auto"/>
          <w:jc w:val="center"/>
          <w:tblCellMar>
            <w:top w:w="0" w:type="dxa"/>
            <w:left w:w="108" w:type="dxa"/>
            <w:bottom w:w="0" w:type="dxa"/>
            <w:right w:w="108" w:type="dxa"/>
          </w:tblCellMar>
        </w:tblPrEx>
        <w:trPr>
          <w:jc w:val="center"/>
        </w:trPr>
        <w:tc>
          <w:tcPr>
            <w:tcW w:w="4264" w:type="dxa"/>
          </w:tcPr>
          <w:p>
            <w:pPr>
              <w:spacing w:after="60"/>
              <w:jc w:val="center"/>
              <w:rPr>
                <w:rFonts w:asciiTheme="minorEastAsia" w:eastAsiaTheme="minorEastAsia" w:hAnsiTheme="minorEastAsia"/>
                <w:szCs w:val="21"/>
              </w:rPr>
            </w:pPr>
            <w:r>
              <w:rPr>
                <w:rFonts w:asciiTheme="minorEastAsia" w:eastAsiaTheme="minorEastAsia" w:hAnsiTheme="minorEastAsia" w:hint="eastAsia"/>
                <w:szCs w:val="21"/>
              </w:rPr>
              <w:t>中标供应商家数</w:t>
            </w:r>
          </w:p>
        </w:tc>
        <w:tc>
          <w:tcPr>
            <w:tcW w:w="4265" w:type="dxa"/>
          </w:tcPr>
          <w:p>
            <w:pPr>
              <w:spacing w:after="60"/>
              <w:jc w:val="center"/>
              <w:rPr>
                <w:rFonts w:asciiTheme="minorEastAsia" w:eastAsiaTheme="minorEastAsia" w:hAnsiTheme="minorEastAsia"/>
                <w:szCs w:val="21"/>
              </w:rPr>
            </w:pPr>
            <w:r>
              <w:rPr>
                <w:rFonts w:asciiTheme="minorEastAsia" w:eastAsiaTheme="minorEastAsia" w:hAnsiTheme="minorEastAsia" w:hint="eastAsia"/>
                <w:szCs w:val="21"/>
              </w:rPr>
              <w:t>1</w:t>
            </w:r>
          </w:p>
        </w:tc>
      </w:tr>
      <w:tr>
        <w:tblPrEx>
          <w:tblW w:w="0" w:type="auto"/>
          <w:jc w:val="center"/>
          <w:tblCellMar>
            <w:top w:w="0" w:type="dxa"/>
            <w:left w:w="108" w:type="dxa"/>
            <w:bottom w:w="0" w:type="dxa"/>
            <w:right w:w="108" w:type="dxa"/>
          </w:tblCellMar>
        </w:tblPrEx>
        <w:trPr>
          <w:jc w:val="center"/>
        </w:trPr>
        <w:tc>
          <w:tcPr>
            <w:tcW w:w="4264" w:type="dxa"/>
          </w:tcPr>
          <w:p>
            <w:pPr>
              <w:spacing w:after="60"/>
              <w:jc w:val="center"/>
              <w:rPr>
                <w:rFonts w:asciiTheme="minorEastAsia" w:eastAsiaTheme="minorEastAsia" w:hAnsiTheme="minorEastAsia"/>
                <w:szCs w:val="21"/>
              </w:rPr>
            </w:pPr>
            <w:r>
              <w:rPr>
                <w:rFonts w:asciiTheme="minorEastAsia" w:eastAsiaTheme="minorEastAsia" w:hAnsiTheme="minorEastAsia" w:hint="eastAsia"/>
                <w:szCs w:val="21"/>
              </w:rPr>
              <w:t>候选中标供应商家数</w:t>
            </w:r>
          </w:p>
        </w:tc>
        <w:tc>
          <w:tcPr>
            <w:tcW w:w="4265" w:type="dxa"/>
          </w:tcPr>
          <w:p>
            <w:pPr>
              <w:spacing w:after="60"/>
              <w:jc w:val="center"/>
              <w:rPr>
                <w:rFonts w:eastAsia="宋体" w:asciiTheme="minorEastAsia" w:hAnsiTheme="minorEastAsia" w:hint="eastAsia"/>
                <w:szCs w:val="21"/>
                <w:lang w:eastAsia="zh-CN"/>
              </w:rPr>
            </w:pPr>
            <w:r>
              <w:rPr>
                <w:rFonts w:asciiTheme="minorEastAsia" w:eastAsiaTheme="minorEastAsia" w:hAnsiTheme="minorEastAsia" w:hint="eastAsia"/>
                <w:szCs w:val="21"/>
                <w:lang w:val="en-US" w:eastAsia="zh-CN"/>
              </w:rPr>
              <w:t>2</w:t>
            </w:r>
          </w:p>
        </w:tc>
      </w:tr>
    </w:tbl>
    <w:p>
      <w:pPr>
        <w:spacing w:line="360" w:lineRule="auto"/>
        <w:ind w:firstLine="412" w:firstLineChars="196"/>
        <w:rPr>
          <w:rFonts w:ascii="宋体" w:hAnsi="宋体"/>
        </w:rPr>
      </w:pPr>
    </w:p>
    <w:p>
      <w:pPr>
        <w:spacing w:line="360" w:lineRule="auto"/>
        <w:ind w:firstLine="412" w:firstLineChars="196"/>
        <w:rPr>
          <w:rFonts w:ascii="宋体" w:hAnsi="宋体"/>
          <w:b/>
          <w:szCs w:val="21"/>
        </w:rPr>
      </w:pPr>
      <w:r>
        <w:rPr>
          <w:rFonts w:ascii="宋体" w:hAnsi="宋体" w:hint="eastAsia"/>
          <w:b/>
          <w:szCs w:val="21"/>
        </w:rPr>
        <w:t>二</w:t>
      </w:r>
      <w:r>
        <w:rPr>
          <w:rFonts w:asciiTheme="minorEastAsia" w:eastAsiaTheme="minorEastAsia" w:hAnsiTheme="minorEastAsia" w:hint="eastAsia"/>
          <w:b/>
          <w:szCs w:val="21"/>
        </w:rPr>
        <w:t>、</w:t>
      </w:r>
      <w:r>
        <w:rPr>
          <w:rFonts w:ascii="宋体" w:hAnsi="宋体" w:hint="eastAsia"/>
          <w:b/>
          <w:szCs w:val="21"/>
        </w:rPr>
        <w:t>报价明显偏低的合理性说明</w:t>
      </w:r>
    </w:p>
    <w:p>
      <w:pPr>
        <w:spacing w:line="360" w:lineRule="auto"/>
        <w:ind w:firstLine="420" w:firstLineChars="200"/>
        <w:rPr>
          <w:rFonts w:ascii="宋体" w:hAnsi="宋体"/>
          <w:szCs w:val="21"/>
        </w:rPr>
      </w:pPr>
      <w:r>
        <w:rPr>
          <w:rFonts w:ascii="宋体" w:hAnsi="宋体" w:hint="eastAsia"/>
          <w:szCs w:val="21"/>
        </w:rPr>
        <w:t>根据《中华人民共和国财政部令第</w:t>
      </w:r>
      <w:r>
        <w:rPr>
          <w:rFonts w:ascii="宋体" w:hAnsi="宋体"/>
          <w:szCs w:val="21"/>
        </w:rPr>
        <w:t>87</w:t>
      </w:r>
      <w:r>
        <w:rPr>
          <w:rFonts w:ascii="宋体" w:hAnsi="宋体" w:hint="eastAsia"/>
          <w:szCs w:val="21"/>
        </w:rPr>
        <w:t>号</w:t>
      </w:r>
      <w:r>
        <w:rPr>
          <w:rFonts w:ascii="宋体" w:hAnsi="宋体"/>
          <w:szCs w:val="21"/>
        </w:rPr>
        <w:t>-</w:t>
      </w:r>
      <w:r>
        <w:rPr>
          <w:rFonts w:ascii="宋体" w:hAnsi="宋体" w:hint="eastAsia"/>
          <w:szCs w:val="21"/>
        </w:rPr>
        <w:t>政府采购货物和服务招标投标管理办法》第六十条规定：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spacing w:line="360" w:lineRule="auto"/>
        <w:ind w:firstLine="420" w:firstLineChars="200"/>
        <w:rPr>
          <w:rFonts w:ascii="宋体" w:hAnsi="宋体"/>
          <w:szCs w:val="21"/>
        </w:rPr>
      </w:pPr>
    </w:p>
    <w:p>
      <w:pPr>
        <w:spacing w:line="360" w:lineRule="auto"/>
        <w:ind w:firstLine="420" w:firstLineChars="200"/>
        <w:rPr>
          <w:rFonts w:asciiTheme="minorEastAsia" w:eastAsiaTheme="minorEastAsia" w:hAnsiTheme="minorEastAsia"/>
          <w:b/>
          <w:bCs/>
        </w:rPr>
      </w:pPr>
      <w:r>
        <w:rPr>
          <w:rFonts w:asciiTheme="minorEastAsia" w:eastAsiaTheme="minorEastAsia" w:hAnsiTheme="minorEastAsia" w:hint="eastAsia"/>
          <w:b/>
          <w:szCs w:val="21"/>
        </w:rPr>
        <w:t>三、</w:t>
      </w:r>
      <w:r>
        <w:rPr>
          <w:rFonts w:asciiTheme="minorEastAsia" w:eastAsiaTheme="minorEastAsia" w:hAnsiTheme="minorEastAsia" w:hint="eastAsia"/>
          <w:b/>
          <w:bCs/>
        </w:rPr>
        <w:t>关于享受政府采购扶持政策的主体及价格扣除比例</w:t>
      </w:r>
    </w:p>
    <w:p>
      <w:pPr>
        <w:spacing w:after="60" w:line="360" w:lineRule="auto"/>
        <w:ind w:firstLine="424" w:firstLineChars="202"/>
        <w:rPr>
          <w:rFonts w:ascii="宋体" w:hAnsi="宋体"/>
          <w:b/>
          <w:bCs w:val="0"/>
          <w:snapToGrid w:val="0"/>
          <w:szCs w:val="21"/>
          <w:highlight w:val="yellow"/>
        </w:rPr>
      </w:pPr>
      <w:r>
        <w:rPr>
          <w:rFonts w:ascii="宋体" w:hAnsi="宋体" w:hint="eastAsia"/>
          <w:b/>
          <w:bCs w:val="0"/>
          <w:snapToGrid w:val="0"/>
          <w:szCs w:val="21"/>
          <w:highlight w:val="yellow"/>
        </w:rPr>
        <w:t>（一）本项目所属行业为</w:t>
      </w:r>
      <w:r>
        <w:rPr>
          <w:rFonts w:ascii="宋体" w:hAnsi="宋体" w:hint="eastAsia"/>
          <w:b/>
          <w:bCs w:val="0"/>
          <w:snapToGrid w:val="0"/>
          <w:szCs w:val="21"/>
          <w:highlight w:val="yellow"/>
          <w:u w:val="single"/>
        </w:rPr>
        <w:t xml:space="preserve"> </w:t>
      </w:r>
      <w:r>
        <w:rPr>
          <w:rFonts w:hint="eastAsia"/>
          <w:b/>
          <w:bCs w:val="0"/>
          <w:highlight w:val="yellow"/>
          <w:u w:val="single"/>
          <w:lang w:eastAsia="zh-CN"/>
        </w:rPr>
        <w:t>软件和信息技术服务业</w:t>
      </w:r>
      <w:r>
        <w:rPr>
          <w:rFonts w:ascii="宋体" w:hAnsi="宋体" w:hint="eastAsia"/>
          <w:b/>
          <w:bCs w:val="0"/>
          <w:snapToGrid w:val="0"/>
          <w:szCs w:val="21"/>
          <w:highlight w:val="yellow"/>
          <w:u w:val="single"/>
        </w:rPr>
        <w:t xml:space="preserve"> </w:t>
      </w:r>
      <w:r>
        <w:rPr>
          <w:rFonts w:ascii="宋体" w:hAnsi="宋体" w:hint="eastAsia"/>
          <w:b/>
          <w:bCs w:val="0"/>
          <w:snapToGrid w:val="0"/>
          <w:szCs w:val="21"/>
          <w:highlight w:val="yellow"/>
        </w:rPr>
        <w:t>，投标人应根据《工业和信息化部、国家统计局、国家发展和改革委员会、财政部关于印发中小企业划型标准规定的通知》(工信部联企业〔2011〕300号)规定的中小企业划型标准填写《中小企业声明函》。</w:t>
      </w:r>
    </w:p>
    <w:p>
      <w:pPr>
        <w:spacing w:line="360" w:lineRule="auto"/>
        <w:ind w:firstLine="420" w:firstLineChars="200"/>
        <w:rPr>
          <w:rFonts w:asciiTheme="minorEastAsia" w:eastAsiaTheme="minorEastAsia" w:hAnsiTheme="minorEastAsia"/>
          <w:b/>
          <w:bCs/>
        </w:rPr>
      </w:pPr>
      <w:r>
        <w:rPr>
          <w:rFonts w:asciiTheme="minorEastAsia" w:eastAsiaTheme="minorEastAsia" w:hAnsiTheme="minorEastAsia" w:hint="eastAsia"/>
          <w:b/>
          <w:bCs/>
        </w:rPr>
        <w:t>（二）价格评审优惠</w:t>
      </w:r>
    </w:p>
    <w:p>
      <w:pPr>
        <w:spacing w:line="360" w:lineRule="auto"/>
        <w:ind w:firstLine="372" w:firstLineChars="177"/>
        <w:rPr>
          <w:rFonts w:asciiTheme="minorEastAsia" w:eastAsiaTheme="minorEastAsia" w:hAnsiTheme="minorEastAsia" w:cs="仿宋"/>
          <w:szCs w:val="21"/>
        </w:rPr>
      </w:pPr>
      <w:r>
        <w:rPr>
          <w:rFonts w:asciiTheme="minorEastAsia" w:eastAsiaTheme="minorEastAsia" w:hAnsiTheme="minorEastAsia" w:hint="eastAsia"/>
          <w:szCs w:val="21"/>
        </w:rPr>
        <w:t>□</w:t>
      </w:r>
      <w:r>
        <w:rPr>
          <w:rFonts w:hAnsi="宋体" w:hint="eastAsia"/>
          <w:szCs w:val="24"/>
        </w:rPr>
        <w:t>预留份额专门面向中小企业采购的采购项目或采购包</w:t>
      </w:r>
      <w:r>
        <w:rPr>
          <w:rFonts w:asciiTheme="minorEastAsia" w:eastAsiaTheme="minorEastAsia" w:hAnsiTheme="minorEastAsia" w:cs="仿宋" w:hint="eastAsia"/>
          <w:szCs w:val="21"/>
        </w:rPr>
        <w:t>：不执行价格评审优惠的扶持政策。</w:t>
      </w:r>
    </w:p>
    <w:p>
      <w:pPr>
        <w:widowControl/>
        <w:spacing w:line="360" w:lineRule="auto"/>
        <w:ind w:firstLine="372" w:firstLineChars="177"/>
        <w:jc w:val="left"/>
        <w:rPr>
          <w:rFonts w:asciiTheme="minorEastAsia" w:eastAsiaTheme="minorEastAsia" w:hAnsiTheme="minorEastAsia" w:cs="仿宋"/>
          <w:szCs w:val="21"/>
        </w:rPr>
      </w:pPr>
      <w:r>
        <w:rPr>
          <w:rFonts w:ascii="宋体" w:eastAsia="MS Mincho" w:hAnsiTheme="minorEastAsia" w:cs="MS Mincho" w:hint="eastAsia"/>
          <w:kern w:val="0"/>
          <w:szCs w:val="21"/>
        </w:rPr>
        <w:t>☑</w:t>
      </w:r>
      <w:r>
        <w:rPr>
          <w:rFonts w:ascii="Segoe UI Symbol" w:hAnsi="Segoe UI Symbol" w:hint="eastAsia"/>
          <w:szCs w:val="24"/>
        </w:rPr>
        <w:t>未</w:t>
      </w:r>
      <w:r>
        <w:rPr>
          <w:rFonts w:hAnsi="宋体" w:hint="eastAsia"/>
          <w:szCs w:val="24"/>
        </w:rPr>
        <w:t>预留份额专门面向中小企业采购的采购项目或采购包</w:t>
      </w:r>
      <w:r>
        <w:rPr>
          <w:rFonts w:asciiTheme="minorEastAsia" w:eastAsiaTheme="minorEastAsia" w:hAnsiTheme="minorEastAsia" w:hint="eastAsia"/>
          <w:szCs w:val="21"/>
        </w:rPr>
        <w:t>：</w:t>
      </w:r>
    </w:p>
    <w:p>
      <w:pPr>
        <w:spacing w:line="360" w:lineRule="auto"/>
        <w:ind w:firstLine="424" w:firstLineChars="202"/>
        <w:rPr>
          <w:rFonts w:asciiTheme="minorEastAsia" w:eastAsiaTheme="minorEastAsia" w:hAnsiTheme="minorEastAsia"/>
        </w:rPr>
      </w:pPr>
      <w:r>
        <w:rPr>
          <w:rFonts w:asciiTheme="minorEastAsia" w:eastAsiaTheme="minorEastAsia" w:hAnsiTheme="minorEastAsia" w:hint="eastAsia"/>
        </w:rPr>
        <w:t>（1）根据</w:t>
      </w:r>
      <w:r>
        <w:rPr>
          <w:rFonts w:ascii="宋体" w:hAnsi="宋体" w:hint="eastAsia"/>
          <w:snapToGrid w:val="0"/>
          <w:szCs w:val="21"/>
        </w:rPr>
        <w:t>《财政部 工业和信息化部关于印发《政府采购促进中小企业发展管理办法》的通知》(财库〔2020〕46号)</w:t>
      </w:r>
      <w:r>
        <w:rPr>
          <w:rFonts w:asciiTheme="minorEastAsia" w:eastAsiaTheme="minorEastAsia" w:hAnsiTheme="minorEastAsia" w:hint="eastAsia"/>
        </w:rPr>
        <w:t>、《财政部 司法部关于政府采购支持监狱企业发展有关问题的通知》（财库〔2014〕68号）和《三部门联合发布关于促进残疾人就业政府采购政策的通知》（财库〔2017〕141号）的规定，对满足价格扣除条件且在投标文件中提交了符合政府采购扶持政策的证明材料的投标人，</w:t>
      </w:r>
      <w:r>
        <w:rPr>
          <w:rFonts w:asciiTheme="minorEastAsia" w:eastAsiaTheme="minorEastAsia" w:hAnsiTheme="minorEastAsia" w:hint="eastAsia"/>
          <w:b/>
        </w:rPr>
        <w:t>其投标报价扣除</w:t>
      </w:r>
      <w:r>
        <w:rPr>
          <w:rFonts w:asciiTheme="minorEastAsia" w:eastAsiaTheme="minorEastAsia" w:hAnsiTheme="minorEastAsia" w:hint="eastAsia"/>
          <w:b/>
          <w:u w:val="single"/>
        </w:rPr>
        <w:t xml:space="preserve"> 10 </w:t>
      </w:r>
      <w:r>
        <w:rPr>
          <w:rFonts w:asciiTheme="minorEastAsia" w:eastAsiaTheme="minorEastAsia" w:hAnsiTheme="minorEastAsia" w:hint="eastAsia"/>
          <w:b/>
        </w:rPr>
        <w:t>%（请在10%-20%范围内选择）后参与评审</w:t>
      </w:r>
      <w:r>
        <w:rPr>
          <w:rFonts w:asciiTheme="minorEastAsia" w:eastAsiaTheme="minorEastAsia" w:hAnsiTheme="minorEastAsia" w:hint="eastAsia"/>
        </w:rPr>
        <w:t>。</w:t>
      </w:r>
    </w:p>
    <w:p>
      <w:pPr>
        <w:spacing w:line="360" w:lineRule="auto"/>
        <w:ind w:firstLine="424" w:firstLineChars="202"/>
        <w:rPr>
          <w:rFonts w:asciiTheme="minorEastAsia" w:eastAsiaTheme="minorEastAsia" w:hAnsiTheme="minorEastAsia"/>
        </w:rPr>
      </w:pPr>
      <w:r>
        <w:rPr>
          <w:rFonts w:asciiTheme="minorEastAsia" w:eastAsiaTheme="minorEastAsia" w:hAnsiTheme="minorEastAsia" w:hint="eastAsia"/>
        </w:rPr>
        <w:t>（2）联合协议中约定，小型、微型企业的协议合同金额占到联合体协议合同总金额30%以上的，可给予</w:t>
      </w:r>
      <w:r>
        <w:rPr>
          <w:rFonts w:asciiTheme="minorEastAsia" w:eastAsiaTheme="minorEastAsia" w:hAnsiTheme="minorEastAsia" w:hint="eastAsia"/>
          <w:b/>
        </w:rPr>
        <w:t>联合体</w:t>
      </w:r>
      <w:r>
        <w:rPr>
          <w:rFonts w:asciiTheme="minorEastAsia" w:eastAsiaTheme="minorEastAsia" w:hAnsiTheme="minorEastAsia" w:hint="eastAsia"/>
          <w:b/>
          <w:u w:val="single"/>
        </w:rPr>
        <w:t xml:space="preserve"> </w:t>
      </w:r>
      <w:r>
        <w:rPr>
          <w:rFonts w:asciiTheme="minorEastAsia" w:eastAsiaTheme="minorEastAsia" w:hAnsiTheme="minorEastAsia" w:hint="eastAsia"/>
          <w:b/>
          <w:u w:val="single"/>
          <w:lang w:val="en-US" w:eastAsia="zh-CN"/>
        </w:rPr>
        <w:t>4</w:t>
      </w:r>
      <w:r>
        <w:rPr>
          <w:rFonts w:asciiTheme="minorEastAsia" w:eastAsiaTheme="minorEastAsia" w:hAnsiTheme="minorEastAsia" w:hint="eastAsia"/>
          <w:b/>
          <w:u w:val="single"/>
        </w:rPr>
        <w:t xml:space="preserve"> </w:t>
      </w:r>
      <w:r>
        <w:rPr>
          <w:rFonts w:asciiTheme="minorEastAsia" w:eastAsiaTheme="minorEastAsia" w:hAnsiTheme="minorEastAsia" w:hint="eastAsia"/>
          <w:b/>
        </w:rPr>
        <w:t>%</w:t>
      </w:r>
      <w:r>
        <w:rPr>
          <w:rFonts w:asciiTheme="minorEastAsia" w:eastAsiaTheme="minorEastAsia" w:hAnsiTheme="minorEastAsia"/>
          <w:b/>
        </w:rPr>
        <w:t xml:space="preserve"> </w:t>
      </w:r>
      <w:r>
        <w:rPr>
          <w:rFonts w:asciiTheme="minorEastAsia" w:eastAsiaTheme="minorEastAsia" w:hAnsiTheme="minorEastAsia" w:hint="eastAsia"/>
          <w:b/>
        </w:rPr>
        <w:t>（请在4</w:t>
      </w:r>
      <w:r>
        <w:rPr>
          <w:rFonts w:asciiTheme="minorEastAsia" w:eastAsiaTheme="minorEastAsia" w:hAnsiTheme="minorEastAsia"/>
          <w:b/>
        </w:rPr>
        <w:t>%-</w:t>
      </w:r>
      <w:r>
        <w:rPr>
          <w:rFonts w:asciiTheme="minorEastAsia" w:eastAsiaTheme="minorEastAsia" w:hAnsiTheme="minorEastAsia" w:hint="eastAsia"/>
          <w:b/>
        </w:rPr>
        <w:t>6</w:t>
      </w:r>
      <w:r>
        <w:rPr>
          <w:rFonts w:asciiTheme="minorEastAsia" w:eastAsiaTheme="minorEastAsia" w:hAnsiTheme="minorEastAsia"/>
          <w:b/>
        </w:rPr>
        <w:t>%</w:t>
      </w:r>
      <w:r>
        <w:rPr>
          <w:rFonts w:asciiTheme="minorEastAsia" w:eastAsiaTheme="minorEastAsia" w:hAnsiTheme="minorEastAsia" w:hint="eastAsia"/>
          <w:b/>
        </w:rPr>
        <w:t>范围内选择）</w:t>
      </w:r>
      <w:r>
        <w:rPr>
          <w:rFonts w:asciiTheme="minorEastAsia" w:eastAsiaTheme="minorEastAsia" w:hAnsiTheme="minorEastAsia" w:hint="eastAsia"/>
        </w:rPr>
        <w:t>的价格扣除</w:t>
      </w:r>
      <w:r>
        <w:rPr>
          <w:rFonts w:ascii="宋体" w:hAnsi="宋体" w:hint="eastAsia"/>
        </w:rPr>
        <w:t>，用扣除后的价格参与评审</w:t>
      </w:r>
      <w:r>
        <w:rPr>
          <w:rFonts w:asciiTheme="minorEastAsia" w:eastAsiaTheme="minorEastAsia" w:hAnsiTheme="minorEastAsia" w:hint="eastAsia"/>
        </w:rPr>
        <w:t>。如联合体各方均为小型、微型企业，联合体视同为小型、微型企业，享受</w:t>
      </w:r>
      <w:r>
        <w:rPr>
          <w:rFonts w:asciiTheme="minorEastAsia" w:eastAsiaTheme="minorEastAsia" w:hAnsiTheme="minorEastAsia" w:hint="eastAsia"/>
          <w:b/>
        </w:rPr>
        <w:t>第（1）项</w:t>
      </w:r>
      <w:r>
        <w:rPr>
          <w:rFonts w:asciiTheme="minorEastAsia" w:eastAsiaTheme="minorEastAsia" w:hAnsiTheme="minorEastAsia" w:hint="eastAsia"/>
        </w:rPr>
        <w:t>的评审优惠。</w:t>
      </w:r>
    </w:p>
    <w:p>
      <w:pPr>
        <w:spacing w:after="60" w:line="360" w:lineRule="auto"/>
        <w:ind w:firstLine="424" w:firstLineChars="202"/>
        <w:rPr>
          <w:rFonts w:ascii="宋体" w:hAnsi="宋体"/>
        </w:rPr>
      </w:pPr>
      <w:r>
        <w:rPr>
          <w:rFonts w:ascii="宋体" w:hAnsi="宋体" w:hint="eastAsia"/>
        </w:rPr>
        <w:t>（3）分包意向协议约定，小型、微型企业的协议合同金额占到合同总金额30%以上的，可给予投标人</w:t>
      </w:r>
      <w:r>
        <w:rPr>
          <w:rFonts w:ascii="宋体" w:hAnsi="宋体" w:hint="eastAsia"/>
          <w:b/>
          <w:u w:val="single"/>
        </w:rPr>
        <w:t xml:space="preserve">  </w:t>
      </w:r>
      <w:r>
        <w:rPr>
          <w:rFonts w:asciiTheme="minorEastAsia" w:eastAsiaTheme="minorEastAsia" w:hAnsiTheme="minorEastAsia" w:hint="eastAsia"/>
          <w:b/>
          <w:u w:val="single"/>
        </w:rPr>
        <w:t xml:space="preserve">/  </w:t>
      </w:r>
      <w:r>
        <w:rPr>
          <w:rFonts w:asciiTheme="minorEastAsia" w:eastAsiaTheme="minorEastAsia" w:hAnsiTheme="minorEastAsia" w:hint="eastAsia"/>
          <w:b/>
        </w:rPr>
        <w:t>%</w:t>
      </w:r>
      <w:r>
        <w:rPr>
          <w:rFonts w:asciiTheme="minorEastAsia" w:eastAsiaTheme="minorEastAsia" w:hAnsiTheme="minorEastAsia"/>
          <w:b/>
        </w:rPr>
        <w:t xml:space="preserve"> </w:t>
      </w:r>
      <w:r>
        <w:rPr>
          <w:rFonts w:asciiTheme="minorEastAsia" w:eastAsiaTheme="minorEastAsia" w:hAnsiTheme="minorEastAsia" w:hint="eastAsia"/>
          <w:b/>
        </w:rPr>
        <w:t>（请在4</w:t>
      </w:r>
      <w:r>
        <w:rPr>
          <w:rFonts w:asciiTheme="minorEastAsia" w:eastAsiaTheme="minorEastAsia" w:hAnsiTheme="minorEastAsia"/>
          <w:b/>
        </w:rPr>
        <w:t>%-</w:t>
      </w:r>
      <w:r>
        <w:rPr>
          <w:rFonts w:asciiTheme="minorEastAsia" w:eastAsiaTheme="minorEastAsia" w:hAnsiTheme="minorEastAsia" w:hint="eastAsia"/>
          <w:b/>
        </w:rPr>
        <w:t>6</w:t>
      </w:r>
      <w:r>
        <w:rPr>
          <w:rFonts w:asciiTheme="minorEastAsia" w:eastAsiaTheme="minorEastAsia" w:hAnsiTheme="minorEastAsia"/>
          <w:b/>
        </w:rPr>
        <w:t>%</w:t>
      </w:r>
      <w:r>
        <w:rPr>
          <w:rFonts w:asciiTheme="minorEastAsia" w:eastAsiaTheme="minorEastAsia" w:hAnsiTheme="minorEastAsia" w:hint="eastAsia"/>
          <w:b/>
        </w:rPr>
        <w:t>范围内选择）</w:t>
      </w:r>
      <w:r>
        <w:rPr>
          <w:rFonts w:asciiTheme="minorEastAsia" w:eastAsiaTheme="minorEastAsia" w:hAnsiTheme="minorEastAsia" w:hint="eastAsia"/>
        </w:rPr>
        <w:t>的价格扣除</w:t>
      </w:r>
      <w:r>
        <w:rPr>
          <w:rFonts w:ascii="宋体" w:hAnsi="宋体" w:hint="eastAsia"/>
        </w:rPr>
        <w:t>，用扣除后的价格参与评审。</w:t>
      </w:r>
    </w:p>
    <w:p>
      <w:pPr>
        <w:spacing w:after="60" w:line="360" w:lineRule="auto"/>
        <w:ind w:firstLine="424" w:firstLineChars="202"/>
        <w:rPr>
          <w:rFonts w:ascii="宋体" w:hAnsi="宋体"/>
        </w:rPr>
      </w:pPr>
      <w:r>
        <w:rPr>
          <w:rFonts w:ascii="宋体" w:hAnsi="宋体" w:hint="eastAsia"/>
        </w:rPr>
        <w:t>（4）</w:t>
      </w:r>
      <w:r>
        <w:rPr>
          <w:rFonts w:asciiTheme="minorEastAsia" w:eastAsiaTheme="minorEastAsia" w:hAnsiTheme="minorEastAsia" w:hint="eastAsia"/>
        </w:rPr>
        <w:t>如供应商为</w:t>
      </w:r>
      <w:r>
        <w:rPr>
          <w:rFonts w:hAnsi="宋体" w:hint="eastAsia"/>
        </w:rPr>
        <w:t>监狱企业</w:t>
      </w:r>
      <w:r>
        <w:rPr>
          <w:rFonts w:hAnsi="宋体" w:hint="eastAsia"/>
          <w:szCs w:val="21"/>
        </w:rPr>
        <w:t>或残疾人福利性单位，</w:t>
      </w:r>
      <w:r>
        <w:rPr>
          <w:rFonts w:hAnsi="宋体" w:hint="eastAsia"/>
        </w:rPr>
        <w:t>视同</w:t>
      </w:r>
      <w:r>
        <w:rPr>
          <w:rFonts w:asciiTheme="minorEastAsia" w:eastAsiaTheme="minorEastAsia" w:hAnsiTheme="minorEastAsia" w:hint="eastAsia"/>
        </w:rPr>
        <w:t>小型、微型企业，</w:t>
      </w:r>
      <w:r>
        <w:rPr>
          <w:rFonts w:hAnsi="宋体" w:hint="eastAsia"/>
        </w:rPr>
        <w:t>享受以上预留份额、评审中价格扣除等政府采购促进中小企业发展的政府采购政策；</w:t>
      </w:r>
      <w:r>
        <w:rPr>
          <w:rFonts w:asciiTheme="minorEastAsia" w:eastAsiaTheme="minorEastAsia" w:hAnsiTheme="minorEastAsia" w:hint="eastAsia"/>
        </w:rPr>
        <w:t>对于同时属于小型、微型企业、监狱企业或残疾人福利性单位的供应商，不重复享受政策。</w:t>
      </w:r>
    </w:p>
    <w:p>
      <w:pPr>
        <w:spacing w:after="60" w:line="360" w:lineRule="auto"/>
        <w:ind w:firstLine="424" w:firstLineChars="202"/>
        <w:rPr>
          <w:rFonts w:ascii="宋体" w:hAnsi="宋体"/>
        </w:rPr>
      </w:pPr>
      <w:r>
        <w:rPr>
          <w:rFonts w:ascii="宋体" w:hAnsi="宋体" w:hint="eastAsia"/>
        </w:rPr>
        <w:t>（5）优惠主体资格的认定资料为《中小企业声明函》、《残疾人福利性单位声明函》以及《监狱企业声明函》等承诺性质的资料（</w:t>
      </w:r>
      <w:r>
        <w:rPr>
          <w:rFonts w:ascii="宋体" w:hAnsi="宋体" w:cs="宋体" w:hint="eastAsia"/>
          <w:szCs w:val="21"/>
        </w:rPr>
        <w:t>格式详见招标文件第三章</w:t>
      </w:r>
      <w:r>
        <w:rPr>
          <w:rFonts w:ascii="宋体" w:hAnsi="宋体" w:hint="eastAsia"/>
        </w:rPr>
        <w:t>）；监狱企业或者代理提供监狱企业货物的供应商如需享受优惠政策，除上述资料外，还须提供省级以上监狱管理局、戒毒管理局出具的监狱企业证明文件。</w:t>
      </w:r>
    </w:p>
    <w:p>
      <w:pPr>
        <w:spacing w:line="360" w:lineRule="auto"/>
        <w:ind w:firstLine="420" w:firstLineChars="200"/>
        <w:rPr>
          <w:rFonts w:asciiTheme="minorEastAsia" w:eastAsiaTheme="minorEastAsia" w:hAnsiTheme="minorEastAsia"/>
          <w:b/>
          <w:szCs w:val="21"/>
        </w:rPr>
      </w:pPr>
    </w:p>
    <w:p>
      <w:pPr>
        <w:spacing w:line="360" w:lineRule="auto"/>
        <w:ind w:firstLine="420" w:firstLineChars="200"/>
        <w:rPr>
          <w:rFonts w:ascii="宋体" w:hAnsi="宋体"/>
          <w:b/>
          <w:szCs w:val="21"/>
        </w:rPr>
      </w:pPr>
      <w:r>
        <w:rPr>
          <w:rFonts w:asciiTheme="minorEastAsia" w:eastAsiaTheme="minorEastAsia" w:hAnsiTheme="minorEastAsia" w:hint="eastAsia"/>
          <w:b/>
          <w:szCs w:val="21"/>
        </w:rPr>
        <w:t>四、</w:t>
      </w:r>
      <w:r>
        <w:rPr>
          <w:rFonts w:ascii="Times New Roman" w:hAnsi="Times New Roman" w:hint="eastAsia"/>
          <w:b/>
          <w:szCs w:val="24"/>
        </w:rPr>
        <w:t>绿色采购</w:t>
      </w:r>
    </w:p>
    <w:p>
      <w:pPr>
        <w:spacing w:line="360" w:lineRule="auto"/>
        <w:ind w:firstLine="424" w:firstLineChars="202"/>
        <w:jc w:val="left"/>
        <w:rPr>
          <w:rFonts w:asciiTheme="minorEastAsia" w:eastAsiaTheme="minorEastAsia" w:hAnsiTheme="minorEastAsia"/>
          <w:szCs w:val="21"/>
        </w:rPr>
      </w:pPr>
      <w:r>
        <w:rPr>
          <w:rFonts w:asciiTheme="minorEastAsia" w:eastAsiaTheme="minorEastAsia" w:hAnsiTheme="minorEastAsia" w:hint="eastAsia"/>
          <w:szCs w:val="24"/>
        </w:rPr>
        <w:t>（1）投标产品属于《关于调整优化节能产品环境标志产品政府采购执行机制的通知》（财库〔2019〕9号）、《关于印发环境标志产品政府采购品目清单的通知》（财库〔2019〕18号）和《关于印发节能产品</w:t>
      </w:r>
      <w:r>
        <w:rPr>
          <w:rFonts w:asciiTheme="minorEastAsia" w:eastAsiaTheme="minorEastAsia" w:hAnsiTheme="minorEastAsia" w:hint="eastAsia"/>
          <w:szCs w:val="21"/>
        </w:rPr>
        <w:t>政府采购品目清单的通知》（财库〔2019〕19号）品目清单范围内的，</w:t>
      </w:r>
      <w:r>
        <w:rPr>
          <w:rFonts w:asciiTheme="minorEastAsia" w:eastAsiaTheme="minorEastAsia" w:hAnsiTheme="minorEastAsia" w:hint="eastAsia"/>
          <w:szCs w:val="24"/>
        </w:rPr>
        <w:t>应依据国家确定的认证机构出具的、处于有效期之内的节能产品、环境标志产品认证证书，对获得证书的产品实施政府优先采购或强制采购。</w:t>
      </w:r>
      <w:r>
        <w:rPr>
          <w:rFonts w:asciiTheme="minorEastAsia" w:eastAsiaTheme="minorEastAsia" w:hAnsiTheme="minorEastAsia" w:hint="eastAsia"/>
          <w:b/>
          <w:szCs w:val="24"/>
        </w:rPr>
        <w:t>对符合条件的获证产品</w:t>
      </w:r>
      <w:r>
        <w:rPr>
          <w:rFonts w:asciiTheme="minorEastAsia" w:eastAsiaTheme="minorEastAsia" w:hAnsiTheme="minorEastAsia" w:hint="eastAsia"/>
          <w:b/>
          <w:szCs w:val="21"/>
        </w:rPr>
        <w:t>，根据该投标产品报价给予</w:t>
      </w:r>
      <w:r>
        <w:rPr>
          <w:rFonts w:asciiTheme="minorEastAsia" w:eastAsiaTheme="minorEastAsia" w:hAnsiTheme="minorEastAsia" w:hint="eastAsia"/>
          <w:b/>
          <w:szCs w:val="21"/>
          <w:u w:val="single"/>
        </w:rPr>
        <w:t xml:space="preserve"> 1 </w:t>
      </w:r>
      <w:r>
        <w:rPr>
          <w:rFonts w:asciiTheme="minorEastAsia" w:eastAsiaTheme="minorEastAsia" w:hAnsiTheme="minorEastAsia" w:hint="eastAsia"/>
          <w:b/>
          <w:szCs w:val="21"/>
        </w:rPr>
        <w:t>%的价格扣除，用扣除后的价格参与评审</w:t>
      </w:r>
      <w:r>
        <w:rPr>
          <w:rFonts w:asciiTheme="minorEastAsia" w:eastAsiaTheme="minorEastAsia" w:hAnsiTheme="minorEastAsia" w:hint="eastAsia"/>
          <w:szCs w:val="21"/>
        </w:rPr>
        <w:t>（需按投标文件格式部分“列入政府优先采购清单的投标产品一览表”的要求提供证明材料，否则不予价格扣除）。</w:t>
      </w:r>
    </w:p>
    <w:p>
      <w:pPr>
        <w:autoSpaceDE w:val="0"/>
        <w:autoSpaceDN w:val="0"/>
        <w:adjustRightInd w:val="0"/>
        <w:spacing w:line="360" w:lineRule="auto"/>
        <w:ind w:firstLine="370" w:firstLineChars="176"/>
        <w:jc w:val="left"/>
        <w:rPr>
          <w:rFonts w:ascii="宋体" w:eastAsia="黑体" w:hAnsi="宋体"/>
          <w:b/>
          <w:bCs/>
          <w:kern w:val="44"/>
          <w:sz w:val="28"/>
          <w:szCs w:val="44"/>
        </w:rPr>
      </w:pPr>
      <w:r>
        <w:rPr>
          <w:rFonts w:asciiTheme="minorEastAsia" w:eastAsiaTheme="minorEastAsia" w:hAnsiTheme="minorEastAsia" w:hint="eastAsia"/>
          <w:szCs w:val="21"/>
        </w:rPr>
        <w:t>（2）按照《深圳市财政局关于大力推广政府绿色采购有关事项的通知（深财购〔2023〕49号）》相关要求，严格执行绿色采购需求标准。采购单位严格执行《商品包装政府采购需求标准（试行）》、《快递包装政府采购需求标准（试行）》（财办库〔2020〕123号）、《绿色建筑和绿色建材政府采购需求标准》（财办库〔2022〕35号）、《绿色数据中心政府采购需求标准（试行）》（财办库〔2023〕7号）等需求标准，依据相关需求标准确定采购需求，在采购文件和采购合同中载明具体需求、履约验收条款和违约责任，促进绿色包装、绿色运输、绿色建筑、绿色建材和绿色数据中心在政府采购领域的应用。加大新能源汽车采购力度。积极推广合同能源管理。鼓励公共机构推广应用合同能源管理，借助市场化手段，通过实施应用节能新技术、新产品，不断提高能源利用效率，为公共机构节能减排提供有力支持和保障。</w:t>
      </w:r>
    </w:p>
    <w:p>
      <w:pPr>
        <w:spacing w:line="360" w:lineRule="auto"/>
        <w:rPr>
          <w:rFonts w:ascii="Times New Roman" w:hAnsi="Times New Roman"/>
          <w:b/>
          <w:bCs/>
          <w:sz w:val="24"/>
          <w:szCs w:val="24"/>
        </w:rPr>
      </w:pPr>
    </w:p>
    <w:p>
      <w:pPr>
        <w:spacing w:line="360" w:lineRule="auto"/>
        <w:ind w:firstLine="420" w:firstLineChars="200"/>
        <w:rPr>
          <w:rFonts w:ascii="宋体" w:hAnsi="宋体"/>
          <w:b/>
          <w:szCs w:val="21"/>
        </w:rPr>
      </w:pPr>
      <w:r>
        <w:rPr>
          <w:rFonts w:asciiTheme="minorEastAsia" w:eastAsiaTheme="minorEastAsia" w:hAnsiTheme="minorEastAsia" w:hint="eastAsia"/>
          <w:b/>
          <w:szCs w:val="21"/>
        </w:rPr>
        <w:t>五、</w:t>
      </w:r>
      <w:r>
        <w:rPr>
          <w:rFonts w:ascii="Times New Roman" w:hAnsi="Times New Roman" w:hint="eastAsia"/>
          <w:b/>
          <w:szCs w:val="24"/>
        </w:rPr>
        <w:t>其他说明</w:t>
      </w:r>
    </w:p>
    <w:p>
      <w:pPr>
        <w:spacing w:line="360" w:lineRule="auto"/>
        <w:ind w:firstLine="420" w:firstLineChars="200"/>
        <w:rPr>
          <w:rFonts w:asciiTheme="minorEastAsia" w:eastAsiaTheme="minorEastAsia" w:hAnsiTheme="minorEastAsia"/>
          <w:szCs w:val="21"/>
        </w:rPr>
      </w:pPr>
      <w:r>
        <w:rPr>
          <w:rFonts w:asciiTheme="minorEastAsia" w:eastAsiaTheme="minorEastAsia" w:hAnsiTheme="minorEastAsia" w:hint="eastAsia"/>
          <w:szCs w:val="24"/>
        </w:rPr>
        <w:t>为缓解中小企业融资难题，深圳市推出政府采购订单融资改革举措。订单融资具体流程及试点金融机构订单融资服务承诺可参阅深圳市政府采购监管网（zfcg.sz.gov.cn）政府采购订单融资栏目。</w:t>
      </w:r>
    </w:p>
    <w:p>
      <w:pPr>
        <w:widowControl/>
        <w:jc w:val="left"/>
        <w:rPr>
          <w:rFonts w:ascii="宋体" w:eastAsia="黑体" w:hAnsi="宋体"/>
          <w:b/>
          <w:bCs/>
          <w:kern w:val="44"/>
          <w:sz w:val="28"/>
          <w:szCs w:val="44"/>
        </w:rPr>
      </w:pPr>
      <w:r>
        <w:rPr>
          <w:rFonts w:ascii="宋体" w:eastAsia="黑体" w:hAnsi="宋体"/>
          <w:b/>
          <w:bCs/>
          <w:kern w:val="44"/>
          <w:sz w:val="28"/>
          <w:szCs w:val="44"/>
        </w:rPr>
        <w:br w:type="page"/>
      </w:r>
    </w:p>
    <w:p>
      <w:pPr>
        <w:keepNext/>
        <w:keepLines/>
        <w:spacing w:before="340" w:after="330" w:line="360" w:lineRule="auto"/>
        <w:jc w:val="center"/>
        <w:outlineLvl w:val="0"/>
        <w:rPr>
          <w:rFonts w:ascii="宋体" w:eastAsia="黑体" w:hAnsi="宋体"/>
          <w:b/>
          <w:bCs/>
          <w:kern w:val="44"/>
          <w:sz w:val="28"/>
          <w:szCs w:val="44"/>
        </w:rPr>
      </w:pPr>
      <w:r>
        <w:rPr>
          <w:rFonts w:ascii="宋体" w:eastAsia="黑体" w:hAnsi="宋体" w:hint="eastAsia"/>
          <w:b/>
          <w:bCs/>
          <w:kern w:val="44"/>
          <w:sz w:val="28"/>
          <w:szCs w:val="44"/>
        </w:rPr>
        <w:t>目   录</w:t>
      </w:r>
    </w:p>
    <w:p>
      <w:pPr>
        <w:rPr>
          <w:rFonts w:ascii="Times New Roman" w:hAnsi="Times New Roman"/>
          <w:b/>
          <w:sz w:val="24"/>
          <w:szCs w:val="24"/>
        </w:rPr>
      </w:pPr>
      <w:r>
        <w:rPr>
          <w:rFonts w:ascii="Times New Roman" w:hAnsi="Times New Roman" w:hint="eastAsia"/>
          <w:b/>
          <w:sz w:val="24"/>
          <w:szCs w:val="24"/>
        </w:rPr>
        <w:t>第一册  专用条款</w:t>
      </w:r>
    </w:p>
    <w:p>
      <w:pPr>
        <w:ind w:left="630" w:firstLine="412" w:leftChars="300" w:firstLineChars="196"/>
        <w:rPr>
          <w:rFonts w:ascii="宋体" w:hAnsi="宋体"/>
          <w:szCs w:val="21"/>
        </w:rPr>
      </w:pPr>
      <w:r>
        <w:rPr>
          <w:rFonts w:ascii="宋体" w:hAnsi="宋体" w:hint="eastAsia"/>
          <w:szCs w:val="21"/>
        </w:rPr>
        <w:t>关键信息</w:t>
      </w:r>
    </w:p>
    <w:p>
      <w:pPr>
        <w:ind w:left="630" w:firstLine="412" w:leftChars="300" w:firstLineChars="196"/>
        <w:rPr>
          <w:rFonts w:ascii="宋体" w:hAnsi="宋体"/>
          <w:szCs w:val="21"/>
        </w:rPr>
      </w:pPr>
      <w:r>
        <w:rPr>
          <w:rFonts w:ascii="宋体" w:hAnsi="宋体" w:hint="eastAsia"/>
          <w:szCs w:val="21"/>
        </w:rPr>
        <w:t>第一章  招标公告</w:t>
      </w:r>
    </w:p>
    <w:p>
      <w:pPr>
        <w:ind w:left="630" w:firstLine="412" w:leftChars="300" w:firstLineChars="196"/>
        <w:rPr>
          <w:rFonts w:ascii="宋体" w:hAnsi="宋体"/>
          <w:szCs w:val="21"/>
        </w:rPr>
      </w:pPr>
      <w:r>
        <w:rPr>
          <w:rFonts w:ascii="宋体" w:hAnsi="宋体" w:hint="eastAsia"/>
          <w:szCs w:val="21"/>
        </w:rPr>
        <w:t>第二章  招标项目需求</w:t>
      </w:r>
    </w:p>
    <w:p>
      <w:pPr>
        <w:ind w:left="630" w:firstLine="412" w:leftChars="300" w:firstLineChars="196"/>
        <w:rPr>
          <w:rFonts w:ascii="宋体" w:hAnsi="宋体"/>
          <w:szCs w:val="21"/>
        </w:rPr>
      </w:pPr>
      <w:r>
        <w:rPr>
          <w:rFonts w:ascii="宋体" w:hAnsi="宋体" w:hint="eastAsia"/>
          <w:szCs w:val="21"/>
        </w:rPr>
        <w:t>第三章  投标文件格式、附件</w:t>
      </w:r>
    </w:p>
    <w:p>
      <w:pPr>
        <w:ind w:left="630" w:firstLine="412" w:leftChars="300" w:firstLineChars="196"/>
        <w:rPr>
          <w:rFonts w:ascii="宋体" w:hAnsi="宋体"/>
          <w:szCs w:val="21"/>
        </w:rPr>
      </w:pPr>
      <w:r>
        <w:rPr>
          <w:rFonts w:ascii="宋体" w:hAnsi="宋体" w:hint="eastAsia"/>
          <w:szCs w:val="21"/>
        </w:rPr>
        <w:t>第四章  合同及履约情况反馈格式</w:t>
      </w:r>
    </w:p>
    <w:p>
      <w:pPr>
        <w:ind w:left="630" w:firstLine="412" w:leftChars="300" w:firstLineChars="196"/>
        <w:rPr>
          <w:rFonts w:ascii="宋体" w:hAnsi="宋体"/>
          <w:szCs w:val="21"/>
        </w:rPr>
      </w:pPr>
      <w:r>
        <w:rPr>
          <w:rFonts w:ascii="宋体" w:hAnsi="宋体" w:hint="eastAsia"/>
          <w:szCs w:val="21"/>
        </w:rPr>
        <w:t>第五章  附件</w:t>
      </w:r>
    </w:p>
    <w:p>
      <w:pPr>
        <w:ind w:left="630" w:firstLine="412" w:leftChars="300" w:firstLineChars="196"/>
        <w:rPr>
          <w:rFonts w:ascii="宋体" w:hAnsi="宋体"/>
          <w:szCs w:val="21"/>
        </w:rPr>
      </w:pPr>
    </w:p>
    <w:p>
      <w:pPr>
        <w:rPr>
          <w:rFonts w:ascii="Times New Roman" w:hAnsi="Times New Roman"/>
          <w:b/>
          <w:sz w:val="24"/>
          <w:szCs w:val="24"/>
        </w:rPr>
      </w:pPr>
    </w:p>
    <w:p>
      <w:pPr>
        <w:rPr>
          <w:rFonts w:ascii="Times New Roman" w:hAnsi="Times New Roman"/>
          <w:b/>
          <w:sz w:val="24"/>
          <w:szCs w:val="24"/>
        </w:rPr>
      </w:pPr>
      <w:r>
        <w:rPr>
          <w:rFonts w:ascii="Times New Roman" w:hAnsi="Times New Roman" w:hint="eastAsia"/>
          <w:b/>
          <w:sz w:val="24"/>
          <w:szCs w:val="24"/>
        </w:rPr>
        <w:t>第二册  通用条款</w:t>
      </w:r>
    </w:p>
    <w:p>
      <w:pPr>
        <w:ind w:left="630" w:firstLine="412" w:leftChars="300" w:firstLineChars="196"/>
        <w:rPr>
          <w:rFonts w:ascii="宋体" w:hAnsi="宋体"/>
          <w:szCs w:val="21"/>
        </w:rPr>
      </w:pPr>
      <w:r>
        <w:rPr>
          <w:rFonts w:ascii="宋体" w:hAnsi="宋体" w:hint="eastAsia"/>
          <w:szCs w:val="21"/>
        </w:rPr>
        <w:t>第一章  总则</w:t>
      </w:r>
    </w:p>
    <w:p>
      <w:pPr>
        <w:ind w:left="630" w:firstLine="412" w:leftChars="300" w:firstLineChars="196"/>
        <w:rPr>
          <w:rFonts w:ascii="宋体" w:hAnsi="宋体"/>
          <w:szCs w:val="21"/>
        </w:rPr>
      </w:pPr>
      <w:r>
        <w:rPr>
          <w:rFonts w:ascii="宋体" w:hAnsi="宋体" w:hint="eastAsia"/>
          <w:szCs w:val="21"/>
        </w:rPr>
        <w:t>第二章  招标文件</w:t>
      </w:r>
    </w:p>
    <w:p>
      <w:pPr>
        <w:ind w:left="630" w:firstLine="412" w:leftChars="300" w:firstLineChars="196"/>
        <w:rPr>
          <w:rFonts w:ascii="宋体" w:hAnsi="宋体"/>
          <w:szCs w:val="21"/>
        </w:rPr>
      </w:pPr>
      <w:r>
        <w:rPr>
          <w:rFonts w:ascii="宋体" w:hAnsi="宋体" w:hint="eastAsia"/>
          <w:szCs w:val="21"/>
        </w:rPr>
        <w:t>第三章  投标文件的编制</w:t>
      </w:r>
    </w:p>
    <w:p>
      <w:pPr>
        <w:ind w:left="630" w:firstLine="412" w:leftChars="300" w:firstLineChars="196"/>
        <w:rPr>
          <w:rFonts w:ascii="宋体" w:hAnsi="宋体"/>
          <w:szCs w:val="21"/>
        </w:rPr>
      </w:pPr>
      <w:r>
        <w:rPr>
          <w:rFonts w:ascii="宋体" w:hAnsi="宋体" w:hint="eastAsia"/>
          <w:szCs w:val="21"/>
        </w:rPr>
        <w:t>第四章  投标文件的递交</w:t>
      </w:r>
    </w:p>
    <w:p>
      <w:pPr>
        <w:ind w:left="630" w:firstLine="412" w:leftChars="300" w:firstLineChars="196"/>
        <w:rPr>
          <w:rFonts w:ascii="宋体" w:hAnsi="宋体"/>
          <w:szCs w:val="21"/>
        </w:rPr>
      </w:pPr>
      <w:r>
        <w:rPr>
          <w:rFonts w:ascii="宋体" w:hAnsi="宋体" w:hint="eastAsia"/>
          <w:szCs w:val="21"/>
        </w:rPr>
        <w:t>第五章  开标</w:t>
      </w:r>
    </w:p>
    <w:p>
      <w:pPr>
        <w:ind w:left="630" w:firstLine="412" w:leftChars="300" w:firstLineChars="196"/>
        <w:rPr>
          <w:rFonts w:ascii="宋体" w:hAnsi="宋体"/>
          <w:szCs w:val="21"/>
        </w:rPr>
      </w:pPr>
      <w:r>
        <w:rPr>
          <w:rFonts w:ascii="宋体" w:hAnsi="宋体" w:hint="eastAsia"/>
          <w:szCs w:val="21"/>
        </w:rPr>
        <w:t>第六章  评标要求</w:t>
      </w:r>
    </w:p>
    <w:p>
      <w:pPr>
        <w:ind w:left="630" w:firstLine="412" w:leftChars="300" w:firstLineChars="196"/>
        <w:rPr>
          <w:rFonts w:ascii="宋体" w:hAnsi="宋体"/>
          <w:szCs w:val="21"/>
        </w:rPr>
      </w:pPr>
      <w:r>
        <w:rPr>
          <w:rFonts w:ascii="宋体" w:hAnsi="宋体" w:hint="eastAsia"/>
          <w:szCs w:val="21"/>
        </w:rPr>
        <w:t>第七章  评标程序及评标方法</w:t>
      </w:r>
    </w:p>
    <w:p>
      <w:pPr>
        <w:ind w:left="630" w:firstLine="412" w:leftChars="300" w:firstLineChars="196"/>
        <w:rPr>
          <w:rFonts w:ascii="宋体" w:hAnsi="宋体"/>
          <w:szCs w:val="21"/>
        </w:rPr>
      </w:pPr>
      <w:r>
        <w:rPr>
          <w:rFonts w:ascii="宋体" w:hAnsi="宋体" w:hint="eastAsia"/>
          <w:szCs w:val="21"/>
        </w:rPr>
        <w:t>第八章  定标及公示</w:t>
      </w:r>
    </w:p>
    <w:p>
      <w:pPr>
        <w:ind w:left="630" w:firstLine="412" w:leftChars="300" w:firstLineChars="196"/>
        <w:rPr>
          <w:rFonts w:ascii="宋体" w:hAnsi="宋体"/>
          <w:szCs w:val="21"/>
        </w:rPr>
      </w:pPr>
      <w:r>
        <w:rPr>
          <w:rFonts w:ascii="宋体" w:hAnsi="宋体" w:hint="eastAsia"/>
          <w:szCs w:val="21"/>
        </w:rPr>
        <w:t>第九章  公开招标失败的后续处理</w:t>
      </w:r>
    </w:p>
    <w:p>
      <w:pPr>
        <w:ind w:left="630" w:firstLine="412" w:leftChars="300" w:firstLineChars="196"/>
        <w:rPr>
          <w:rFonts w:ascii="宋体" w:hAnsi="宋体"/>
          <w:szCs w:val="21"/>
        </w:rPr>
      </w:pPr>
      <w:r>
        <w:rPr>
          <w:rFonts w:ascii="宋体" w:hAnsi="宋体" w:hint="eastAsia"/>
          <w:szCs w:val="21"/>
        </w:rPr>
        <w:t>第十章  合同的授予与备案</w:t>
      </w:r>
    </w:p>
    <w:p>
      <w:pPr>
        <w:ind w:left="630" w:firstLine="412" w:leftChars="300" w:firstLineChars="196"/>
        <w:rPr>
          <w:rFonts w:ascii="宋体" w:hAnsi="宋体"/>
          <w:szCs w:val="21"/>
        </w:rPr>
      </w:pPr>
      <w:r>
        <w:rPr>
          <w:rFonts w:ascii="宋体" w:hAnsi="宋体" w:hint="eastAsia"/>
          <w:szCs w:val="21"/>
        </w:rPr>
        <w:t>第十一章  质疑处理</w:t>
      </w:r>
    </w:p>
    <w:p>
      <w:pPr>
        <w:rPr>
          <w:rFonts w:ascii="Times New Roman" w:hAnsi="Times New Roman"/>
          <w:sz w:val="24"/>
          <w:szCs w:val="24"/>
        </w:rPr>
      </w:pPr>
    </w:p>
    <w:p>
      <w:pPr>
        <w:rPr>
          <w:rFonts w:ascii="Times New Roman" w:hAnsi="Times New Roman"/>
          <w:b/>
          <w:szCs w:val="24"/>
        </w:rPr>
      </w:pPr>
      <w:r>
        <w:rPr>
          <w:rFonts w:ascii="Times New Roman" w:hAnsi="Times New Roman" w:hint="eastAsia"/>
          <w:b/>
          <w:szCs w:val="24"/>
        </w:rPr>
        <w:t>备注：</w:t>
      </w:r>
    </w:p>
    <w:p>
      <w:pPr>
        <w:ind w:firstLine="420" w:firstLineChars="200"/>
        <w:rPr>
          <w:rFonts w:ascii="Times New Roman" w:hAnsi="Times New Roman"/>
          <w:b/>
          <w:szCs w:val="24"/>
        </w:rPr>
      </w:pPr>
      <w:r>
        <w:rPr>
          <w:rFonts w:ascii="宋体" w:hAnsi="宋体" w:hint="eastAsia"/>
          <w:szCs w:val="21"/>
        </w:rPr>
        <w:t>1.本招标文件分为第一册“专用条款”和第二册“通用条款”。</w:t>
      </w:r>
    </w:p>
    <w:p>
      <w:pPr>
        <w:spacing w:line="360" w:lineRule="auto"/>
        <w:ind w:firstLine="420" w:firstLineChars="200"/>
        <w:jc w:val="left"/>
        <w:rPr>
          <w:rFonts w:ascii="宋体" w:hAnsi="宋体"/>
          <w:szCs w:val="21"/>
        </w:rPr>
      </w:pPr>
      <w:r>
        <w:rPr>
          <w:rFonts w:ascii="宋体" w:hAnsi="宋体" w:hint="eastAsia"/>
          <w:szCs w:val="21"/>
        </w:rPr>
        <w:t>2.“专用条款”是对本次采购项目的具体要求，包含招标公告、招标项目需求、投标文件格式、合同及履约情况反馈格式等内容。</w:t>
      </w:r>
    </w:p>
    <w:p>
      <w:pPr>
        <w:spacing w:line="360" w:lineRule="auto"/>
        <w:ind w:firstLine="420" w:firstLineChars="200"/>
        <w:jc w:val="left"/>
        <w:rPr>
          <w:rFonts w:ascii="宋体" w:hAnsi="宋体"/>
          <w:szCs w:val="21"/>
        </w:rPr>
      </w:pPr>
      <w:r>
        <w:rPr>
          <w:rFonts w:ascii="宋体" w:hAnsi="宋体" w:hint="eastAsia"/>
          <w:szCs w:val="21"/>
        </w:rPr>
        <w:t>3.“通用条款”是适用于政府采购项目的基础性条款，具有普遍性和通用性。</w:t>
      </w:r>
    </w:p>
    <w:p>
      <w:pPr>
        <w:spacing w:line="360" w:lineRule="auto"/>
        <w:ind w:firstLine="420" w:firstLineChars="200"/>
        <w:jc w:val="left"/>
        <w:rPr>
          <w:rFonts w:ascii="宋体" w:hAnsi="宋体"/>
          <w:szCs w:val="21"/>
        </w:rPr>
      </w:pPr>
      <w:r>
        <w:rPr>
          <w:rFonts w:ascii="宋体" w:hAnsi="宋体" w:hint="eastAsia"/>
          <w:szCs w:val="21"/>
        </w:rPr>
        <w:t>4.当出现“专用条款”和“通用条款”表述不一致或有冲突时，以“专用条款”为准。</w:t>
      </w:r>
    </w:p>
    <w:p>
      <w:pPr>
        <w:rPr>
          <w:rFonts w:ascii="宋体" w:hAnsi="宋体"/>
          <w:szCs w:val="21"/>
        </w:rPr>
      </w:pPr>
    </w:p>
    <w:p>
      <w:pPr>
        <w:widowControl/>
        <w:jc w:val="left"/>
        <w:rPr>
          <w:rFonts w:ascii="宋体" w:eastAsia="黑体" w:hAnsi="宋体"/>
          <w:b/>
          <w:bCs/>
          <w:kern w:val="44"/>
          <w:sz w:val="28"/>
          <w:szCs w:val="44"/>
        </w:rPr>
      </w:pPr>
      <w:r>
        <w:rPr>
          <w:rFonts w:ascii="Times New Roman" w:hAnsi="Times New Roman"/>
          <w:szCs w:val="24"/>
        </w:rPr>
        <w:br w:type="page"/>
      </w:r>
    </w:p>
    <w:p>
      <w:pPr>
        <w:keepNext/>
        <w:keepLines/>
        <w:spacing w:before="340" w:after="330" w:line="360" w:lineRule="auto"/>
        <w:jc w:val="center"/>
        <w:outlineLvl w:val="0"/>
        <w:rPr>
          <w:rFonts w:ascii="宋体" w:eastAsia="黑体" w:hAnsi="宋体"/>
          <w:b/>
          <w:bCs/>
          <w:kern w:val="44"/>
          <w:sz w:val="24"/>
          <w:szCs w:val="44"/>
        </w:rPr>
      </w:pPr>
      <w:r>
        <w:rPr>
          <w:rFonts w:ascii="宋体" w:eastAsia="黑体" w:hAnsi="宋体" w:hint="eastAsia"/>
          <w:b/>
          <w:bCs/>
          <w:kern w:val="44"/>
          <w:sz w:val="28"/>
          <w:szCs w:val="44"/>
        </w:rPr>
        <w:t>第一册  专用条款</w:t>
      </w:r>
    </w:p>
    <w:p>
      <w:pPr>
        <w:keepNext/>
        <w:keepLines/>
        <w:adjustRightInd w:val="0"/>
        <w:spacing w:before="260" w:after="260" w:line="360" w:lineRule="exact"/>
        <w:jc w:val="center"/>
        <w:textAlignment w:val="baseline"/>
        <w:outlineLvl w:val="1"/>
        <w:rPr>
          <w:rFonts w:ascii="宋体" w:hAnsi="宋体"/>
          <w:b/>
          <w:bCs/>
          <w:kern w:val="0"/>
          <w:sz w:val="24"/>
          <w:szCs w:val="20"/>
        </w:rPr>
      </w:pPr>
      <w:r>
        <w:rPr>
          <w:rFonts w:ascii="宋体" w:hAnsi="宋体" w:hint="eastAsia"/>
          <w:b/>
          <w:bCs/>
          <w:kern w:val="0"/>
          <w:sz w:val="24"/>
          <w:szCs w:val="20"/>
        </w:rPr>
        <w:t>第一章  招标公告</w:t>
      </w:r>
    </w:p>
    <w:p>
      <w:pPr>
        <w:spacing w:line="360" w:lineRule="exact"/>
        <w:rPr>
          <w:rFonts w:ascii="宋体" w:hAnsi="宋体"/>
          <w:vanish/>
          <w:szCs w:val="21"/>
        </w:rPr>
      </w:pP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textAlignment w:val="auto"/>
        <w:rPr>
          <w:rFonts w:ascii="宋体" w:eastAsia="宋体" w:hAnsi="宋体" w:cs="宋体" w:hint="eastAsia"/>
          <w:sz w:val="21"/>
          <w:szCs w:val="21"/>
        </w:rPr>
      </w:pPr>
      <w:r>
        <w:rPr>
          <w:rFonts w:ascii="宋体" w:eastAsia="宋体" w:hAnsi="宋体" w:cs="宋体" w:hint="eastAsia"/>
          <w:sz w:val="21"/>
          <w:szCs w:val="21"/>
        </w:rPr>
        <w:t>项目概况:</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cs="宋体" w:hint="eastAsia"/>
          <w:sz w:val="21"/>
          <w:szCs w:val="21"/>
          <w:lang w:eastAsia="zh-CN"/>
        </w:rPr>
        <w:t>坪山区“互联网+明厨亮灶”视频服务采购项目</w:t>
      </w:r>
      <w:r>
        <w:rPr>
          <w:rFonts w:ascii="宋体" w:eastAsia="宋体" w:hAnsi="宋体" w:cs="宋体" w:hint="eastAsia"/>
          <w:sz w:val="21"/>
          <w:szCs w:val="21"/>
        </w:rPr>
        <w:t xml:space="preserve">招标项目的潜在投标人应在（本公告附件中）获取招标文件，并于 </w:t>
      </w:r>
      <w:r>
        <w:rPr>
          <w:rFonts w:cs="宋体" w:hint="eastAsia"/>
          <w:b/>
          <w:sz w:val="21"/>
          <w:szCs w:val="21"/>
          <w:u w:val="single"/>
          <w:lang w:val="en-US" w:eastAsia="zh-CN"/>
        </w:rPr>
        <w:t>2025</w:t>
      </w:r>
      <w:r>
        <w:rPr>
          <w:rFonts w:ascii="宋体" w:eastAsia="宋体" w:hAnsi="宋体" w:cs="宋体" w:hint="eastAsia"/>
          <w:b/>
          <w:sz w:val="21"/>
          <w:szCs w:val="21"/>
          <w:u w:val="single"/>
        </w:rPr>
        <w:t>年</w:t>
      </w:r>
      <w:r>
        <w:rPr>
          <w:rFonts w:cs="宋体" w:hint="eastAsia"/>
          <w:b/>
          <w:sz w:val="21"/>
          <w:szCs w:val="21"/>
          <w:u w:val="single"/>
          <w:lang w:val="en-US" w:eastAsia="zh-CN"/>
        </w:rPr>
        <w:t>1</w:t>
      </w:r>
      <w:r>
        <w:rPr>
          <w:rFonts w:ascii="宋体" w:eastAsia="宋体" w:hAnsi="宋体" w:cs="宋体" w:hint="eastAsia"/>
          <w:b/>
          <w:sz w:val="21"/>
          <w:szCs w:val="21"/>
          <w:u w:val="single"/>
        </w:rPr>
        <w:t>月</w:t>
      </w:r>
      <w:r>
        <w:rPr>
          <w:rFonts w:cs="宋体" w:hint="eastAsia"/>
          <w:b/>
          <w:sz w:val="21"/>
          <w:szCs w:val="21"/>
          <w:u w:val="single"/>
          <w:lang w:val="en-US" w:eastAsia="zh-CN"/>
        </w:rPr>
        <w:t>15</w:t>
      </w:r>
      <w:r>
        <w:rPr>
          <w:rFonts w:ascii="宋体" w:eastAsia="宋体" w:hAnsi="宋体" w:cs="宋体" w:hint="eastAsia"/>
          <w:b/>
          <w:sz w:val="21"/>
          <w:szCs w:val="21"/>
          <w:u w:val="single"/>
        </w:rPr>
        <w:t>日14:</w:t>
      </w:r>
      <w:r>
        <w:rPr>
          <w:rFonts w:cs="宋体" w:hint="eastAsia"/>
          <w:b/>
          <w:sz w:val="21"/>
          <w:szCs w:val="21"/>
          <w:u w:val="single"/>
          <w:lang w:val="en-US" w:eastAsia="zh-CN"/>
        </w:rPr>
        <w:t>30</w:t>
      </w:r>
      <w:r>
        <w:rPr>
          <w:rFonts w:ascii="宋体" w:eastAsia="宋体" w:hAnsi="宋体" w:cs="宋体" w:hint="eastAsia"/>
          <w:b/>
          <w:sz w:val="21"/>
          <w:szCs w:val="21"/>
          <w:u w:val="single"/>
        </w:rPr>
        <w:t>（北京时间）</w:t>
      </w:r>
      <w:r>
        <w:rPr>
          <w:rFonts w:ascii="宋体" w:eastAsia="宋体" w:hAnsi="宋体" w:cs="宋体" w:hint="eastAsia"/>
          <w:sz w:val="21"/>
          <w:szCs w:val="21"/>
        </w:rPr>
        <w:t xml:space="preserve">前递交投标文件。 </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textAlignment w:val="auto"/>
        <w:rPr>
          <w:rFonts w:ascii="宋体" w:eastAsia="宋体" w:hAnsi="宋体" w:cs="宋体" w:hint="eastAsia"/>
          <w:sz w:val="21"/>
          <w:szCs w:val="21"/>
        </w:rPr>
      </w:pP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textAlignment w:val="auto"/>
        <w:rPr>
          <w:rFonts w:ascii="宋体" w:eastAsia="宋体" w:hAnsi="宋体" w:cs="宋体" w:hint="eastAsia"/>
          <w:sz w:val="21"/>
          <w:szCs w:val="21"/>
        </w:rPr>
      </w:pPr>
      <w:r>
        <w:rPr>
          <w:rFonts w:ascii="宋体" w:eastAsia="宋体" w:hAnsi="宋体" w:cs="宋体" w:hint="eastAsia"/>
          <w:sz w:val="21"/>
          <w:szCs w:val="21"/>
        </w:rPr>
        <w:t>一、项目基本情况</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lang w:eastAsia="zh-CN"/>
        </w:rPr>
      </w:pPr>
      <w:r>
        <w:rPr>
          <w:rFonts w:ascii="宋体" w:eastAsia="宋体" w:hAnsi="宋体" w:cs="宋体" w:hint="eastAsia"/>
          <w:sz w:val="21"/>
          <w:szCs w:val="21"/>
        </w:rPr>
        <w:t>1</w:t>
      </w:r>
      <w:r>
        <w:rPr>
          <w:rFonts w:ascii="宋体" w:eastAsia="宋体" w:hAnsi="宋体" w:cs="宋体" w:hint="eastAsia"/>
          <w:sz w:val="21"/>
          <w:szCs w:val="21"/>
          <w:lang w:val="en-US" w:eastAsia="zh-CN"/>
        </w:rPr>
        <w:t>.</w:t>
      </w:r>
      <w:r>
        <w:rPr>
          <w:rFonts w:ascii="宋体" w:eastAsia="宋体" w:hAnsi="宋体" w:cs="宋体" w:hint="eastAsia"/>
          <w:sz w:val="21"/>
          <w:szCs w:val="21"/>
        </w:rPr>
        <w:t>项目编号：</w:t>
      </w:r>
      <w:r>
        <w:rPr>
          <w:rFonts w:cs="宋体" w:hint="eastAsia"/>
          <w:sz w:val="21"/>
          <w:szCs w:val="21"/>
          <w:lang w:eastAsia="zh-CN"/>
        </w:rPr>
        <w:t>PSDL2025000002</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lang w:eastAsia="zh-CN"/>
        </w:rPr>
      </w:pPr>
      <w:r>
        <w:rPr>
          <w:rFonts w:ascii="宋体" w:eastAsia="宋体" w:hAnsi="宋体" w:cs="宋体" w:hint="eastAsia"/>
          <w:sz w:val="21"/>
          <w:szCs w:val="21"/>
        </w:rPr>
        <w:t>2</w:t>
      </w:r>
      <w:r>
        <w:rPr>
          <w:rFonts w:ascii="宋体" w:eastAsia="宋体" w:hAnsi="宋体" w:cs="宋体" w:hint="eastAsia"/>
          <w:sz w:val="21"/>
          <w:szCs w:val="21"/>
          <w:lang w:val="en-US" w:eastAsia="zh-CN"/>
        </w:rPr>
        <w:t>.</w:t>
      </w:r>
      <w:r>
        <w:rPr>
          <w:rFonts w:ascii="宋体" w:eastAsia="宋体" w:hAnsi="宋体" w:cs="宋体" w:hint="eastAsia"/>
          <w:sz w:val="21"/>
          <w:szCs w:val="21"/>
        </w:rPr>
        <w:t>项目名称：</w:t>
      </w:r>
      <w:r>
        <w:rPr>
          <w:rFonts w:cs="宋体" w:hint="eastAsia"/>
          <w:sz w:val="21"/>
          <w:szCs w:val="21"/>
          <w:lang w:eastAsia="zh-CN"/>
        </w:rPr>
        <w:t>坪山区“互联网+明厨亮灶”视频服务采购项目</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lang w:eastAsia="zh-CN"/>
        </w:rPr>
      </w:pPr>
      <w:r>
        <w:rPr>
          <w:rFonts w:ascii="宋体" w:eastAsia="宋体" w:hAnsi="宋体" w:cs="宋体" w:hint="eastAsia"/>
          <w:sz w:val="21"/>
          <w:szCs w:val="21"/>
        </w:rPr>
        <w:t>3</w:t>
      </w:r>
      <w:r>
        <w:rPr>
          <w:rFonts w:ascii="宋体" w:eastAsia="宋体" w:hAnsi="宋体" w:cs="宋体" w:hint="eastAsia"/>
          <w:sz w:val="21"/>
          <w:szCs w:val="21"/>
          <w:lang w:val="en-US" w:eastAsia="zh-CN"/>
        </w:rPr>
        <w:t>.</w:t>
      </w:r>
      <w:r>
        <w:rPr>
          <w:rFonts w:ascii="宋体" w:eastAsia="宋体" w:hAnsi="宋体" w:cs="宋体" w:hint="eastAsia"/>
          <w:sz w:val="21"/>
          <w:szCs w:val="21"/>
        </w:rPr>
        <w:t>预算金额：人民币1,856,000.00</w:t>
      </w:r>
      <w:r>
        <w:rPr>
          <w:rFonts w:cs="宋体" w:hint="eastAsia"/>
          <w:sz w:val="21"/>
          <w:szCs w:val="21"/>
          <w:lang w:eastAsia="zh-CN"/>
        </w:rPr>
        <w:t>元</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4</w:t>
      </w:r>
      <w:r>
        <w:rPr>
          <w:rFonts w:ascii="宋体" w:eastAsia="宋体" w:hAnsi="宋体" w:cs="宋体" w:hint="eastAsia"/>
          <w:sz w:val="21"/>
          <w:szCs w:val="21"/>
          <w:lang w:val="en-US" w:eastAsia="zh-CN"/>
        </w:rPr>
        <w:t>.</w:t>
      </w:r>
      <w:r>
        <w:rPr>
          <w:rFonts w:ascii="宋体" w:eastAsia="宋体" w:hAnsi="宋体" w:cs="宋体" w:hint="eastAsia"/>
          <w:sz w:val="21"/>
          <w:szCs w:val="21"/>
        </w:rPr>
        <w:t>最高限价：人民币1,856,000.00元</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5</w:t>
      </w:r>
      <w:r>
        <w:rPr>
          <w:rFonts w:ascii="宋体" w:eastAsia="宋体" w:hAnsi="宋体" w:cs="宋体" w:hint="eastAsia"/>
          <w:sz w:val="21"/>
          <w:szCs w:val="21"/>
          <w:lang w:val="en-US" w:eastAsia="zh-CN"/>
        </w:rPr>
        <w:t>.</w:t>
      </w:r>
      <w:r>
        <w:rPr>
          <w:rFonts w:ascii="宋体" w:eastAsia="宋体" w:hAnsi="宋体" w:cs="宋体" w:hint="eastAsia"/>
          <w:sz w:val="21"/>
          <w:szCs w:val="21"/>
        </w:rPr>
        <w:t>采购需求：</w:t>
      </w:r>
    </w:p>
    <w:tbl>
      <w:tblPr>
        <w:tblStyle w:val="TableNormal"/>
        <w:tblW w:w="9417" w:type="dxa"/>
        <w:tblInd w:w="60" w:type="dxa"/>
        <w:tblBorders>
          <w:top w:val="outset" w:sz="6" w:space="0" w:color="AAAAAA"/>
          <w:left w:val="outset" w:sz="6" w:space="0" w:color="AAAAAA"/>
          <w:bottom w:val="outset" w:sz="6" w:space="0" w:color="AAAAAA"/>
          <w:right w:val="outset" w:sz="6" w:space="0" w:color="AAAAAA"/>
          <w:insideH w:val="outset" w:sz="6" w:space="0" w:color="AAAAAA"/>
          <w:insideV w:val="outset" w:sz="6" w:space="0" w:color="AAAAAA"/>
        </w:tblBorders>
        <w:tblCellMar>
          <w:top w:w="60" w:type="dxa"/>
          <w:left w:w="60" w:type="dxa"/>
          <w:bottom w:w="60" w:type="dxa"/>
          <w:right w:w="60" w:type="dxa"/>
        </w:tblCellMar>
      </w:tblPr>
      <w:tblGrid>
        <w:gridCol w:w="3611"/>
        <w:gridCol w:w="941"/>
        <w:gridCol w:w="1098"/>
        <w:gridCol w:w="2826"/>
        <w:gridCol w:w="941"/>
      </w:tblGrid>
      <w:tr>
        <w:tblPrEx>
          <w:tblW w:w="9417" w:type="dxa"/>
          <w:tblInd w:w="60" w:type="dxa"/>
          <w:tblBorders>
            <w:top w:val="outset" w:sz="6" w:space="0" w:color="AAAAAA"/>
            <w:left w:val="outset" w:sz="6" w:space="0" w:color="AAAAAA"/>
            <w:bottom w:val="outset" w:sz="6" w:space="0" w:color="AAAAAA"/>
            <w:right w:val="outset" w:sz="6" w:space="0" w:color="AAAAAA"/>
            <w:insideH w:val="outset" w:sz="6" w:space="0" w:color="AAAAAA"/>
            <w:insideV w:val="outset" w:sz="6" w:space="0" w:color="AAAAAA"/>
          </w:tblBorders>
          <w:tblCellMar>
            <w:top w:w="60" w:type="dxa"/>
            <w:left w:w="60" w:type="dxa"/>
            <w:bottom w:w="60" w:type="dxa"/>
            <w:right w:w="60" w:type="dxa"/>
          </w:tblCellMar>
        </w:tblPrEx>
        <w:trPr>
          <w:trHeight w:val="545"/>
        </w:trPr>
        <w:tc>
          <w:tcPr>
            <w:tcW w:w="3611" w:type="dxa"/>
            <w:tcBorders>
              <w:top w:val="outset" w:sz="6" w:space="0" w:color="AAAAAA"/>
              <w:left w:val="outset" w:sz="6" w:space="0" w:color="AAAAAA"/>
              <w:bottom w:val="outset" w:sz="6" w:space="0" w:color="AAAAAA"/>
              <w:right w:val="outset" w:sz="6" w:space="0" w:color="AAAAAA"/>
            </w:tcBorders>
            <w:shd w:val="clear" w:color="auto" w:fill="ABCDEF"/>
            <w:vAlign w:val="center"/>
          </w:tcPr>
          <w:p>
            <w:pPr>
              <w:keepNext w:val="0"/>
              <w:keepLines w:val="0"/>
              <w:pageBreakBefore w:val="0"/>
              <w:widowControl/>
              <w:kinsoku/>
              <w:wordWrap/>
              <w:overflowPunct/>
              <w:topLinePunct w:val="0"/>
              <w:autoSpaceDE/>
              <w:autoSpaceDN/>
              <w:bidi w:val="0"/>
              <w:spacing w:beforeAutospacing="0" w:afterAutospacing="0" w:line="360" w:lineRule="exact"/>
              <w:jc w:val="center"/>
              <w:textAlignment w:val="auto"/>
              <w:rPr>
                <w:rFonts w:ascii="宋体" w:eastAsia="宋体" w:hAnsi="宋体" w:cs="宋体" w:hint="eastAsia"/>
                <w:sz w:val="21"/>
                <w:szCs w:val="21"/>
              </w:rPr>
            </w:pPr>
            <w:r>
              <w:rPr>
                <w:rFonts w:ascii="宋体" w:eastAsia="宋体" w:hAnsi="宋体" w:cs="宋体" w:hint="eastAsia"/>
                <w:sz w:val="21"/>
                <w:szCs w:val="21"/>
              </w:rPr>
              <w:t>标的名称</w:t>
            </w:r>
          </w:p>
        </w:tc>
        <w:tc>
          <w:tcPr>
            <w:tcW w:w="941" w:type="dxa"/>
            <w:tcBorders>
              <w:top w:val="outset" w:sz="6" w:space="0" w:color="AAAAAA"/>
              <w:left w:val="outset" w:sz="6" w:space="0" w:color="AAAAAA"/>
              <w:bottom w:val="outset" w:sz="6" w:space="0" w:color="AAAAAA"/>
              <w:right w:val="outset" w:sz="6" w:space="0" w:color="AAAAAA"/>
            </w:tcBorders>
            <w:shd w:val="clear" w:color="auto" w:fill="ABCDEF"/>
            <w:vAlign w:val="center"/>
          </w:tcPr>
          <w:p>
            <w:pPr>
              <w:keepNext w:val="0"/>
              <w:keepLines w:val="0"/>
              <w:pageBreakBefore w:val="0"/>
              <w:widowControl/>
              <w:kinsoku/>
              <w:wordWrap/>
              <w:overflowPunct/>
              <w:topLinePunct w:val="0"/>
              <w:autoSpaceDE/>
              <w:autoSpaceDN/>
              <w:bidi w:val="0"/>
              <w:spacing w:beforeAutospacing="0" w:afterAutospacing="0" w:line="360" w:lineRule="exact"/>
              <w:jc w:val="center"/>
              <w:textAlignment w:val="auto"/>
              <w:rPr>
                <w:rFonts w:ascii="宋体" w:eastAsia="宋体" w:hAnsi="宋体" w:cs="宋体" w:hint="eastAsia"/>
                <w:sz w:val="21"/>
                <w:szCs w:val="21"/>
              </w:rPr>
            </w:pPr>
            <w:r>
              <w:rPr>
                <w:rFonts w:ascii="宋体" w:eastAsia="宋体" w:hAnsi="宋体" w:cs="宋体" w:hint="eastAsia"/>
                <w:sz w:val="21"/>
                <w:szCs w:val="21"/>
              </w:rPr>
              <w:t>数量</w:t>
            </w:r>
          </w:p>
        </w:tc>
        <w:tc>
          <w:tcPr>
            <w:tcW w:w="1098" w:type="dxa"/>
            <w:tcBorders>
              <w:top w:val="outset" w:sz="6" w:space="0" w:color="AAAAAA"/>
              <w:left w:val="outset" w:sz="6" w:space="0" w:color="AAAAAA"/>
              <w:bottom w:val="outset" w:sz="6" w:space="0" w:color="AAAAAA"/>
              <w:right w:val="outset" w:sz="6" w:space="0" w:color="AAAAAA"/>
            </w:tcBorders>
            <w:shd w:val="clear" w:color="auto" w:fill="ABCDEF"/>
            <w:vAlign w:val="center"/>
          </w:tcPr>
          <w:p>
            <w:pPr>
              <w:keepNext w:val="0"/>
              <w:keepLines w:val="0"/>
              <w:pageBreakBefore w:val="0"/>
              <w:widowControl/>
              <w:kinsoku/>
              <w:wordWrap/>
              <w:overflowPunct/>
              <w:topLinePunct w:val="0"/>
              <w:autoSpaceDE/>
              <w:autoSpaceDN/>
              <w:bidi w:val="0"/>
              <w:spacing w:beforeAutospacing="0" w:afterAutospacing="0" w:line="360" w:lineRule="exact"/>
              <w:jc w:val="center"/>
              <w:textAlignment w:val="auto"/>
              <w:rPr>
                <w:rFonts w:ascii="宋体" w:eastAsia="宋体" w:hAnsi="宋体" w:cs="宋体" w:hint="eastAsia"/>
                <w:sz w:val="21"/>
                <w:szCs w:val="21"/>
              </w:rPr>
            </w:pPr>
            <w:r>
              <w:rPr>
                <w:rFonts w:ascii="宋体" w:eastAsia="宋体" w:hAnsi="宋体" w:cs="宋体" w:hint="eastAsia"/>
                <w:sz w:val="21"/>
                <w:szCs w:val="21"/>
              </w:rPr>
              <w:t>单位</w:t>
            </w:r>
          </w:p>
        </w:tc>
        <w:tc>
          <w:tcPr>
            <w:tcW w:w="2826" w:type="dxa"/>
            <w:tcBorders>
              <w:top w:val="outset" w:sz="6" w:space="0" w:color="AAAAAA"/>
              <w:left w:val="outset" w:sz="6" w:space="0" w:color="AAAAAA"/>
              <w:bottom w:val="outset" w:sz="6" w:space="0" w:color="AAAAAA"/>
              <w:right w:val="outset" w:sz="6" w:space="0" w:color="AAAAAA"/>
            </w:tcBorders>
            <w:shd w:val="clear" w:color="auto" w:fill="ABCDEF"/>
            <w:vAlign w:val="center"/>
          </w:tcPr>
          <w:p>
            <w:pPr>
              <w:keepNext w:val="0"/>
              <w:keepLines w:val="0"/>
              <w:pageBreakBefore w:val="0"/>
              <w:widowControl/>
              <w:kinsoku/>
              <w:wordWrap/>
              <w:overflowPunct/>
              <w:topLinePunct w:val="0"/>
              <w:autoSpaceDE/>
              <w:autoSpaceDN/>
              <w:bidi w:val="0"/>
              <w:spacing w:beforeAutospacing="0" w:afterAutospacing="0" w:line="360" w:lineRule="exact"/>
              <w:jc w:val="center"/>
              <w:textAlignment w:val="auto"/>
              <w:rPr>
                <w:rFonts w:ascii="宋体" w:eastAsia="宋体" w:hAnsi="宋体" w:cs="宋体" w:hint="eastAsia"/>
                <w:sz w:val="21"/>
                <w:szCs w:val="21"/>
              </w:rPr>
            </w:pPr>
            <w:r>
              <w:rPr>
                <w:rFonts w:ascii="宋体" w:eastAsia="宋体" w:hAnsi="宋体" w:cs="宋体" w:hint="eastAsia"/>
                <w:sz w:val="21"/>
                <w:szCs w:val="21"/>
              </w:rPr>
              <w:t>简要技术需求（服务需求）</w:t>
            </w:r>
          </w:p>
        </w:tc>
        <w:tc>
          <w:tcPr>
            <w:tcW w:w="941" w:type="dxa"/>
            <w:tcBorders>
              <w:top w:val="outset" w:sz="6" w:space="0" w:color="AAAAAA"/>
              <w:left w:val="outset" w:sz="6" w:space="0" w:color="AAAAAA"/>
              <w:bottom w:val="outset" w:sz="6" w:space="0" w:color="AAAAAA"/>
              <w:right w:val="outset" w:sz="6" w:space="0" w:color="AAAAAA"/>
            </w:tcBorders>
            <w:shd w:val="clear" w:color="auto" w:fill="ABCDEF"/>
            <w:vAlign w:val="center"/>
          </w:tcPr>
          <w:p>
            <w:pPr>
              <w:keepNext w:val="0"/>
              <w:keepLines w:val="0"/>
              <w:pageBreakBefore w:val="0"/>
              <w:widowControl/>
              <w:kinsoku/>
              <w:wordWrap/>
              <w:overflowPunct/>
              <w:topLinePunct w:val="0"/>
              <w:autoSpaceDE/>
              <w:autoSpaceDN/>
              <w:bidi w:val="0"/>
              <w:spacing w:beforeAutospacing="0" w:afterAutospacing="0" w:line="360" w:lineRule="exact"/>
              <w:jc w:val="center"/>
              <w:textAlignment w:val="auto"/>
              <w:rPr>
                <w:rFonts w:ascii="宋体" w:eastAsia="宋体" w:hAnsi="宋体" w:cs="宋体" w:hint="eastAsia"/>
                <w:sz w:val="21"/>
                <w:szCs w:val="21"/>
              </w:rPr>
            </w:pPr>
            <w:r>
              <w:rPr>
                <w:rFonts w:ascii="宋体" w:eastAsia="宋体" w:hAnsi="宋体" w:cs="宋体" w:hint="eastAsia"/>
                <w:sz w:val="21"/>
                <w:szCs w:val="21"/>
              </w:rPr>
              <w:t>备注</w:t>
            </w:r>
          </w:p>
        </w:tc>
      </w:tr>
      <w:tr>
        <w:tblPrEx>
          <w:tblW w:w="9417" w:type="dxa"/>
          <w:tblInd w:w="60" w:type="dxa"/>
          <w:tblCellMar>
            <w:top w:w="60" w:type="dxa"/>
            <w:left w:w="60" w:type="dxa"/>
            <w:bottom w:w="60" w:type="dxa"/>
            <w:right w:w="60" w:type="dxa"/>
          </w:tblCellMar>
        </w:tblPrEx>
        <w:trPr>
          <w:trHeight w:val="793"/>
        </w:trPr>
        <w:tc>
          <w:tcPr>
            <w:tcW w:w="3611" w:type="dxa"/>
            <w:tcBorders>
              <w:top w:val="outset" w:sz="6" w:space="0" w:color="AAAAAA"/>
              <w:left w:val="outset" w:sz="6" w:space="0" w:color="AAAAAA"/>
              <w:bottom w:val="outset" w:sz="6" w:space="0" w:color="AAAAAA"/>
              <w:right w:val="outset" w:sz="6" w:space="0" w:color="AAAAAA"/>
            </w:tcBorders>
            <w:shd w:val="clear" w:color="auto" w:fill="auto"/>
            <w:vAlign w:val="center"/>
          </w:tcPr>
          <w:p>
            <w:pPr>
              <w:keepNext w:val="0"/>
              <w:keepLines w:val="0"/>
              <w:pageBreakBefore w:val="0"/>
              <w:widowControl/>
              <w:kinsoku/>
              <w:wordWrap/>
              <w:overflowPunct/>
              <w:topLinePunct w:val="0"/>
              <w:autoSpaceDE/>
              <w:autoSpaceDN/>
              <w:bidi w:val="0"/>
              <w:spacing w:beforeAutospacing="0" w:afterAutospacing="0" w:line="360" w:lineRule="exact"/>
              <w:jc w:val="center"/>
              <w:textAlignment w:val="auto"/>
              <w:rPr>
                <w:rFonts w:ascii="宋体" w:eastAsia="宋体" w:hAnsi="宋体" w:cs="宋体" w:hint="eastAsia"/>
                <w:sz w:val="21"/>
                <w:szCs w:val="21"/>
                <w:lang w:eastAsia="zh-CN"/>
              </w:rPr>
            </w:pPr>
            <w:r>
              <w:rPr>
                <w:rFonts w:ascii="宋体" w:hAnsi="宋体" w:cs="宋体" w:hint="eastAsia"/>
                <w:sz w:val="21"/>
                <w:szCs w:val="21"/>
                <w:lang w:eastAsia="zh-CN"/>
              </w:rPr>
              <w:t>坪山区“互联网+明厨亮灶”视频服务采购项目</w:t>
            </w:r>
          </w:p>
        </w:tc>
        <w:tc>
          <w:tcPr>
            <w:tcW w:w="941" w:type="dxa"/>
            <w:tcBorders>
              <w:top w:val="outset" w:sz="6" w:space="0" w:color="AAAAAA"/>
              <w:left w:val="outset" w:sz="6" w:space="0" w:color="AAAAAA"/>
              <w:bottom w:val="outset" w:sz="6" w:space="0" w:color="AAAAAA"/>
              <w:right w:val="outset" w:sz="6" w:space="0" w:color="AAAAAA"/>
            </w:tcBorders>
            <w:shd w:val="clear" w:color="auto" w:fill="auto"/>
            <w:vAlign w:val="center"/>
          </w:tcPr>
          <w:p>
            <w:pPr>
              <w:keepNext w:val="0"/>
              <w:keepLines w:val="0"/>
              <w:pageBreakBefore w:val="0"/>
              <w:kinsoku/>
              <w:wordWrap/>
              <w:overflowPunct/>
              <w:topLinePunct w:val="0"/>
              <w:autoSpaceDE/>
              <w:autoSpaceDN/>
              <w:bidi w:val="0"/>
              <w:spacing w:beforeAutospacing="0" w:afterAutospacing="0" w:line="360" w:lineRule="exact"/>
              <w:jc w:val="center"/>
              <w:textAlignment w:val="auto"/>
              <w:rPr>
                <w:rFonts w:ascii="宋体" w:eastAsia="宋体" w:hAnsi="宋体" w:cs="宋体" w:hint="eastAsia"/>
                <w:sz w:val="21"/>
                <w:szCs w:val="21"/>
              </w:rPr>
            </w:pPr>
            <w:r>
              <w:rPr>
                <w:rFonts w:ascii="宋体" w:eastAsia="宋体" w:hAnsi="宋体" w:cs="宋体" w:hint="eastAsia"/>
                <w:sz w:val="21"/>
                <w:szCs w:val="21"/>
              </w:rPr>
              <w:t>1</w:t>
            </w:r>
          </w:p>
        </w:tc>
        <w:tc>
          <w:tcPr>
            <w:tcW w:w="1098" w:type="dxa"/>
            <w:tcBorders>
              <w:top w:val="outset" w:sz="6" w:space="0" w:color="AAAAAA"/>
              <w:left w:val="outset" w:sz="6" w:space="0" w:color="AAAAAA"/>
              <w:bottom w:val="outset" w:sz="6" w:space="0" w:color="AAAAAA"/>
              <w:right w:val="outset" w:sz="6" w:space="0" w:color="AAAAAA"/>
            </w:tcBorders>
            <w:shd w:val="clear" w:color="auto" w:fill="auto"/>
            <w:vAlign w:val="center"/>
          </w:tcPr>
          <w:p>
            <w:pPr>
              <w:keepNext w:val="0"/>
              <w:keepLines w:val="0"/>
              <w:pageBreakBefore w:val="0"/>
              <w:kinsoku/>
              <w:wordWrap/>
              <w:overflowPunct/>
              <w:topLinePunct w:val="0"/>
              <w:autoSpaceDE/>
              <w:autoSpaceDN/>
              <w:bidi w:val="0"/>
              <w:spacing w:beforeAutospacing="0" w:afterAutospacing="0" w:line="360" w:lineRule="exact"/>
              <w:jc w:val="center"/>
              <w:textAlignment w:val="auto"/>
              <w:rPr>
                <w:rFonts w:ascii="宋体" w:eastAsia="宋体" w:hAnsi="宋体" w:cs="宋体" w:hint="eastAsia"/>
                <w:sz w:val="21"/>
                <w:szCs w:val="21"/>
                <w:lang w:eastAsia="zh-CN"/>
              </w:rPr>
            </w:pPr>
            <w:r>
              <w:rPr>
                <w:rFonts w:ascii="宋体" w:eastAsia="宋体" w:hAnsi="宋体" w:cs="宋体" w:hint="eastAsia"/>
                <w:sz w:val="21"/>
                <w:szCs w:val="21"/>
                <w:lang w:eastAsia="zh-CN"/>
              </w:rPr>
              <w:t>项</w:t>
            </w:r>
          </w:p>
        </w:tc>
        <w:tc>
          <w:tcPr>
            <w:tcW w:w="2826" w:type="dxa"/>
            <w:tcBorders>
              <w:top w:val="outset" w:sz="6" w:space="0" w:color="AAAAAA"/>
              <w:left w:val="outset" w:sz="6" w:space="0" w:color="AAAAAA"/>
              <w:bottom w:val="outset" w:sz="6" w:space="0" w:color="AAAAAA"/>
              <w:right w:val="outset" w:sz="6" w:space="0" w:color="AAAAAA"/>
            </w:tcBorders>
            <w:shd w:val="clear" w:color="auto" w:fill="auto"/>
            <w:vAlign w:val="center"/>
          </w:tcPr>
          <w:p>
            <w:pPr>
              <w:keepNext w:val="0"/>
              <w:keepLines w:val="0"/>
              <w:pageBreakBefore w:val="0"/>
              <w:kinsoku/>
              <w:wordWrap/>
              <w:overflowPunct/>
              <w:topLinePunct w:val="0"/>
              <w:autoSpaceDE/>
              <w:autoSpaceDN/>
              <w:bidi w:val="0"/>
              <w:spacing w:beforeAutospacing="0" w:afterAutospacing="0" w:line="360" w:lineRule="exact"/>
              <w:jc w:val="center"/>
              <w:textAlignment w:val="auto"/>
              <w:rPr>
                <w:rFonts w:ascii="宋体" w:eastAsia="宋体" w:hAnsi="宋体" w:cs="宋体" w:hint="eastAsia"/>
                <w:sz w:val="21"/>
                <w:szCs w:val="21"/>
              </w:rPr>
            </w:pPr>
            <w:r>
              <w:rPr>
                <w:rFonts w:ascii="宋体" w:eastAsia="宋体" w:hAnsi="宋体" w:cs="宋体" w:hint="eastAsia"/>
                <w:sz w:val="21"/>
                <w:szCs w:val="21"/>
              </w:rPr>
              <w:t>详见招标文件</w:t>
            </w:r>
          </w:p>
        </w:tc>
        <w:tc>
          <w:tcPr>
            <w:tcW w:w="941" w:type="dxa"/>
            <w:tcBorders>
              <w:top w:val="outset" w:sz="6" w:space="0" w:color="AAAAAA"/>
              <w:left w:val="outset" w:sz="6" w:space="0" w:color="AAAAAA"/>
              <w:bottom w:val="outset" w:sz="6" w:space="0" w:color="AAAAAA"/>
              <w:right w:val="outset" w:sz="6" w:space="0" w:color="AAAAAA"/>
            </w:tcBorders>
            <w:shd w:val="clear" w:color="auto" w:fill="auto"/>
            <w:vAlign w:val="center"/>
          </w:tcPr>
          <w:p>
            <w:pPr>
              <w:keepNext w:val="0"/>
              <w:keepLines w:val="0"/>
              <w:pageBreakBefore w:val="0"/>
              <w:widowControl/>
              <w:kinsoku/>
              <w:wordWrap/>
              <w:overflowPunct/>
              <w:topLinePunct w:val="0"/>
              <w:autoSpaceDE/>
              <w:autoSpaceDN/>
              <w:bidi w:val="0"/>
              <w:spacing w:beforeAutospacing="0" w:afterAutospacing="0" w:line="360" w:lineRule="exact"/>
              <w:jc w:val="center"/>
              <w:textAlignment w:val="auto"/>
              <w:rPr>
                <w:rFonts w:ascii="宋体" w:eastAsia="宋体" w:hAnsi="宋体" w:cs="宋体" w:hint="eastAsia"/>
                <w:sz w:val="21"/>
                <w:szCs w:val="21"/>
              </w:rPr>
            </w:pPr>
            <w:r>
              <w:rPr>
                <w:rFonts w:ascii="宋体" w:eastAsia="宋体" w:hAnsi="宋体" w:cs="宋体" w:hint="eastAsia"/>
                <w:sz w:val="21"/>
                <w:szCs w:val="21"/>
              </w:rPr>
              <w:t>无</w:t>
            </w:r>
          </w:p>
        </w:tc>
      </w:tr>
    </w:tbl>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lang w:eastAsia="zh-CN"/>
        </w:rPr>
      </w:pPr>
      <w:r>
        <w:rPr>
          <w:rFonts w:ascii="宋体" w:eastAsia="宋体" w:hAnsi="宋体" w:cs="宋体" w:hint="eastAsia"/>
          <w:sz w:val="21"/>
          <w:szCs w:val="21"/>
        </w:rPr>
        <w:t>6</w:t>
      </w:r>
      <w:r>
        <w:rPr>
          <w:rFonts w:ascii="宋体" w:eastAsia="宋体" w:hAnsi="宋体" w:cs="宋体" w:hint="eastAsia"/>
          <w:sz w:val="21"/>
          <w:szCs w:val="21"/>
          <w:lang w:val="en-US" w:eastAsia="zh-CN"/>
        </w:rPr>
        <w:t>.</w:t>
      </w:r>
      <w:r>
        <w:rPr>
          <w:rFonts w:ascii="宋体" w:eastAsia="宋体" w:hAnsi="宋体" w:cs="宋体" w:hint="eastAsia"/>
          <w:sz w:val="21"/>
          <w:szCs w:val="21"/>
        </w:rPr>
        <w:t>合同履行期限：详见招标文件</w:t>
      </w:r>
      <w:r>
        <w:rPr>
          <w:rFonts w:ascii="宋体" w:eastAsia="宋体" w:hAnsi="宋体" w:cs="宋体" w:hint="eastAsia"/>
          <w:sz w:val="21"/>
          <w:szCs w:val="21"/>
          <w:lang w:eastAsia="zh-CN"/>
        </w:rPr>
        <w:t>。</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lang w:eastAsia="zh-CN"/>
        </w:rPr>
      </w:pPr>
      <w:r>
        <w:rPr>
          <w:rFonts w:ascii="宋体" w:eastAsia="宋体" w:hAnsi="宋体" w:cs="宋体" w:hint="eastAsia"/>
          <w:sz w:val="21"/>
          <w:szCs w:val="21"/>
        </w:rPr>
        <w:t>7</w:t>
      </w:r>
      <w:r>
        <w:rPr>
          <w:rFonts w:ascii="宋体" w:eastAsia="宋体" w:hAnsi="宋体" w:cs="宋体" w:hint="eastAsia"/>
          <w:sz w:val="21"/>
          <w:szCs w:val="21"/>
          <w:lang w:val="en-US" w:eastAsia="zh-CN"/>
        </w:rPr>
        <w:t>.</w:t>
      </w:r>
      <w:r>
        <w:rPr>
          <w:rFonts w:ascii="宋体" w:eastAsia="宋体" w:hAnsi="宋体" w:cs="宋体" w:hint="eastAsia"/>
          <w:sz w:val="21"/>
          <w:szCs w:val="21"/>
        </w:rPr>
        <w:t>本项目接受联合体投标</w:t>
      </w:r>
      <w:r>
        <w:rPr>
          <w:rFonts w:ascii="宋体" w:eastAsia="宋体" w:hAnsi="宋体" w:cs="宋体" w:hint="eastAsia"/>
          <w:sz w:val="21"/>
          <w:szCs w:val="21"/>
          <w:lang w:eastAsia="zh-CN"/>
        </w:rPr>
        <w:t>。</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textAlignment w:val="auto"/>
        <w:rPr>
          <w:rFonts w:ascii="宋体" w:eastAsia="宋体" w:hAnsi="宋体" w:cs="宋体" w:hint="eastAsia"/>
          <w:sz w:val="21"/>
          <w:szCs w:val="21"/>
        </w:rPr>
      </w:pP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textAlignment w:val="auto"/>
        <w:rPr>
          <w:rFonts w:ascii="宋体" w:eastAsia="宋体" w:hAnsi="宋体" w:cs="宋体" w:hint="eastAsia"/>
          <w:sz w:val="21"/>
          <w:szCs w:val="21"/>
        </w:rPr>
      </w:pPr>
      <w:r>
        <w:rPr>
          <w:rFonts w:ascii="宋体" w:eastAsia="宋体" w:hAnsi="宋体" w:cs="宋体" w:hint="eastAsia"/>
          <w:sz w:val="21"/>
          <w:szCs w:val="21"/>
        </w:rPr>
        <w:t>二、申请人的资格要求：</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1</w:t>
      </w:r>
      <w:r>
        <w:rPr>
          <w:rFonts w:ascii="宋体" w:eastAsia="宋体" w:hAnsi="宋体" w:cs="宋体" w:hint="eastAsia"/>
          <w:sz w:val="21"/>
          <w:szCs w:val="21"/>
          <w:lang w:val="en-US" w:eastAsia="zh-CN"/>
        </w:rPr>
        <w:t>.</w:t>
      </w:r>
      <w:r>
        <w:rPr>
          <w:rFonts w:ascii="宋体" w:eastAsia="宋体" w:hAnsi="宋体" w:cs="宋体" w:hint="eastAsia"/>
          <w:sz w:val="21"/>
          <w:szCs w:val="21"/>
        </w:rPr>
        <w:t>满足《中华人民共和国政府采购法》第二十二条规定</w:t>
      </w:r>
      <w:r>
        <w:rPr>
          <w:rFonts w:ascii="宋体" w:eastAsia="宋体" w:hAnsi="宋体" w:cs="宋体" w:hint="eastAsia"/>
          <w:snapToGrid w:val="0"/>
          <w:sz w:val="21"/>
          <w:szCs w:val="21"/>
        </w:rPr>
        <w:t>（须提供具有独立承担民事责任能力的法人或其他组织或个体工商户的营业执照或法人证书等证明材料扫描件以及《</w:t>
      </w:r>
      <w:r>
        <w:rPr>
          <w:rFonts w:ascii="宋体" w:eastAsia="宋体" w:hAnsi="宋体" w:cs="宋体" w:hint="eastAsia"/>
          <w:sz w:val="21"/>
          <w:szCs w:val="21"/>
        </w:rPr>
        <w:t>政府采购投标及履约承诺函</w:t>
      </w:r>
      <w:r>
        <w:rPr>
          <w:rFonts w:ascii="宋体" w:eastAsia="宋体" w:hAnsi="宋体" w:cs="宋体" w:hint="eastAsia"/>
          <w:snapToGrid w:val="0"/>
          <w:sz w:val="21"/>
          <w:szCs w:val="21"/>
        </w:rPr>
        <w:t>》）。如果是分支机构参与投标，还须同时提供其具有独立法人资格的上级主体出具的有效授权书及上级主体的营业执照或法人证书等证明材料扫描件；本项目不接受总公司与分支机构同时参与投标，也不接受同一总公司有两个或以上分支机构参与投标，如出现以上情形，该两家或以上投标人均按无效投标处理</w:t>
      </w:r>
      <w:r>
        <w:rPr>
          <w:rFonts w:ascii="宋体" w:eastAsia="宋体" w:hAnsi="宋体" w:cs="宋体" w:hint="eastAsia"/>
          <w:sz w:val="21"/>
          <w:szCs w:val="21"/>
        </w:rPr>
        <w:t xml:space="preserve">。 </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2</w:t>
      </w:r>
      <w:r>
        <w:rPr>
          <w:rFonts w:ascii="宋体" w:eastAsia="宋体" w:hAnsi="宋体" w:cs="宋体" w:hint="eastAsia"/>
          <w:sz w:val="21"/>
          <w:szCs w:val="21"/>
          <w:lang w:val="en-US" w:eastAsia="zh-CN"/>
        </w:rPr>
        <w:t>.</w:t>
      </w:r>
      <w:r>
        <w:rPr>
          <w:rFonts w:ascii="宋体" w:eastAsia="宋体" w:hAnsi="宋体" w:cs="宋体" w:hint="eastAsia"/>
          <w:sz w:val="21"/>
          <w:szCs w:val="21"/>
        </w:rPr>
        <w:t xml:space="preserve">落实政府采购政策需满足的资格要求：无。 </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3</w:t>
      </w:r>
      <w:r>
        <w:rPr>
          <w:rFonts w:ascii="宋体" w:eastAsia="宋体" w:hAnsi="宋体" w:cs="宋体" w:hint="eastAsia"/>
          <w:sz w:val="21"/>
          <w:szCs w:val="21"/>
          <w:lang w:val="en-US" w:eastAsia="zh-CN"/>
        </w:rPr>
        <w:t>.</w:t>
      </w:r>
      <w:r>
        <w:rPr>
          <w:rFonts w:ascii="宋体" w:eastAsia="宋体" w:hAnsi="宋体" w:cs="宋体" w:hint="eastAsia"/>
          <w:sz w:val="21"/>
          <w:szCs w:val="21"/>
        </w:rPr>
        <w:t>本项目的特定资格要求：</w:t>
      </w:r>
    </w:p>
    <w:p>
      <w:pPr>
        <w:pStyle w:val="p9"/>
        <w:keepNext w:val="0"/>
        <w:keepLines w:val="0"/>
        <w:pageBreakBefore w:val="0"/>
        <w:kinsoku/>
        <w:wordWrap/>
        <w:overflowPunct/>
        <w:topLinePunct w:val="0"/>
        <w:autoSpaceDE/>
        <w:autoSpaceDN/>
        <w:bidi w:val="0"/>
        <w:adjustRightInd w:val="0"/>
        <w:snapToGrid w:val="0"/>
        <w:spacing w:before="0" w:beforeAutospacing="0" w:after="0" w:afterAutospacing="0" w:line="360" w:lineRule="exact"/>
        <w:ind w:firstLine="424" w:firstLineChars="202"/>
        <w:textAlignment w:val="auto"/>
        <w:rPr>
          <w:rFonts w:ascii="宋体" w:eastAsia="宋体" w:hAnsi="宋体" w:cs="宋体" w:hint="eastAsia"/>
          <w:snapToGrid w:val="0"/>
          <w:color w:val="auto"/>
          <w:sz w:val="21"/>
          <w:szCs w:val="21"/>
        </w:rPr>
      </w:pPr>
      <w:r>
        <w:rPr>
          <w:rFonts w:ascii="宋体" w:eastAsia="宋体" w:hAnsi="宋体" w:cs="宋体" w:hint="eastAsia"/>
          <w:snapToGrid w:val="0"/>
          <w:color w:val="auto"/>
          <w:sz w:val="21"/>
          <w:szCs w:val="21"/>
        </w:rPr>
        <w:t>（1）参与本项目采购活动前三年内，在经营活动中没有重大违法记录（须按本项目投标文件格式要求提供《政府采购投标及履约承诺函》）；</w:t>
      </w:r>
    </w:p>
    <w:p>
      <w:pPr>
        <w:pStyle w:val="p9"/>
        <w:keepNext w:val="0"/>
        <w:keepLines w:val="0"/>
        <w:pageBreakBefore w:val="0"/>
        <w:kinsoku/>
        <w:wordWrap/>
        <w:overflowPunct/>
        <w:topLinePunct w:val="0"/>
        <w:autoSpaceDE/>
        <w:autoSpaceDN/>
        <w:bidi w:val="0"/>
        <w:adjustRightInd w:val="0"/>
        <w:snapToGrid w:val="0"/>
        <w:spacing w:before="0" w:beforeAutospacing="0" w:after="0" w:afterAutospacing="0" w:line="360" w:lineRule="exact"/>
        <w:ind w:firstLine="424" w:firstLineChars="202"/>
        <w:textAlignment w:val="auto"/>
        <w:rPr>
          <w:rFonts w:ascii="宋体" w:eastAsia="宋体" w:hAnsi="宋体" w:cs="宋体" w:hint="eastAsia"/>
          <w:snapToGrid w:val="0"/>
          <w:color w:val="auto"/>
          <w:sz w:val="21"/>
          <w:szCs w:val="21"/>
        </w:rPr>
      </w:pPr>
      <w:r>
        <w:rPr>
          <w:rFonts w:ascii="宋体" w:eastAsia="宋体" w:hAnsi="宋体" w:cs="宋体" w:hint="eastAsia"/>
          <w:snapToGrid w:val="0"/>
          <w:color w:val="auto"/>
          <w:sz w:val="21"/>
          <w:szCs w:val="21"/>
        </w:rPr>
        <w:t>（2）参与本项目政府采购活动时不存在被有关部门禁止参与政府采购活动且在有效期内的情况（须按本项目投标文件格式要求提供《政府采购投标及履约承诺函》）；</w:t>
      </w:r>
    </w:p>
    <w:p>
      <w:pPr>
        <w:pStyle w:val="p9"/>
        <w:keepNext w:val="0"/>
        <w:keepLines w:val="0"/>
        <w:pageBreakBefore w:val="0"/>
        <w:kinsoku/>
        <w:wordWrap/>
        <w:overflowPunct/>
        <w:topLinePunct w:val="0"/>
        <w:autoSpaceDE/>
        <w:autoSpaceDN/>
        <w:bidi w:val="0"/>
        <w:adjustRightInd w:val="0"/>
        <w:snapToGrid w:val="0"/>
        <w:spacing w:before="0" w:beforeAutospacing="0" w:after="0" w:afterAutospacing="0" w:line="360" w:lineRule="exact"/>
        <w:ind w:firstLine="424" w:firstLineChars="202"/>
        <w:textAlignment w:val="auto"/>
        <w:rPr>
          <w:rFonts w:ascii="宋体" w:eastAsia="宋体" w:hAnsi="宋体" w:cs="宋体" w:hint="eastAsia"/>
          <w:snapToGrid w:val="0"/>
          <w:color w:val="auto"/>
          <w:sz w:val="21"/>
          <w:szCs w:val="21"/>
        </w:rPr>
      </w:pPr>
      <w:r>
        <w:rPr>
          <w:rFonts w:ascii="宋体" w:eastAsia="宋体" w:hAnsi="宋体" w:cs="宋体" w:hint="eastAsia"/>
          <w:snapToGrid w:val="0"/>
          <w:color w:val="auto"/>
          <w:sz w:val="21"/>
          <w:szCs w:val="21"/>
        </w:rPr>
        <w:t>（3）单位负责人为同一人或者存在直接控股、管理关系的不同供应商，不得参加同一合同项下的政府采购活动，不存在《深圳市财政局政府采购供应商信用信息管理办法》（深财规〔2023〕3号）列明的严重违法失信行为（须按本项目投标文件格式要求提供《政府采购投标及履约承诺函》）；</w:t>
      </w:r>
    </w:p>
    <w:p>
      <w:pPr>
        <w:pStyle w:val="p9"/>
        <w:keepNext w:val="0"/>
        <w:keepLines w:val="0"/>
        <w:pageBreakBefore w:val="0"/>
        <w:kinsoku/>
        <w:wordWrap/>
        <w:overflowPunct/>
        <w:topLinePunct w:val="0"/>
        <w:autoSpaceDE/>
        <w:autoSpaceDN/>
        <w:bidi w:val="0"/>
        <w:adjustRightInd w:val="0"/>
        <w:snapToGrid w:val="0"/>
        <w:spacing w:before="0" w:beforeAutospacing="0" w:after="0" w:afterAutospacing="0" w:line="360" w:lineRule="exact"/>
        <w:ind w:firstLine="424" w:firstLineChars="202"/>
        <w:textAlignment w:val="auto"/>
        <w:rPr>
          <w:rFonts w:ascii="宋体" w:eastAsia="宋体" w:hAnsi="宋体" w:cs="宋体" w:hint="eastAsia"/>
          <w:snapToGrid w:val="0"/>
          <w:color w:val="auto"/>
          <w:sz w:val="21"/>
          <w:szCs w:val="21"/>
        </w:rPr>
      </w:pPr>
      <w:r>
        <w:rPr>
          <w:rFonts w:ascii="宋体" w:eastAsia="宋体" w:hAnsi="宋体" w:cs="宋体" w:hint="eastAsia"/>
          <w:snapToGrid w:val="0"/>
          <w:color w:val="auto"/>
          <w:sz w:val="21"/>
          <w:szCs w:val="21"/>
        </w:rPr>
        <w:t>（4）除单一来源采购项目外，为采购项目提供整体设计、规范编制或者项目管理、监理、检测等服务的供应商，不得再参加该采购项目的其他采购活动（须按本项目投标文件格式要求提供《政府采购投标及履约承诺函》）；</w:t>
      </w:r>
    </w:p>
    <w:p>
      <w:pPr>
        <w:pStyle w:val="p9"/>
        <w:keepNext w:val="0"/>
        <w:keepLines w:val="0"/>
        <w:pageBreakBefore w:val="0"/>
        <w:kinsoku/>
        <w:wordWrap/>
        <w:overflowPunct/>
        <w:topLinePunct w:val="0"/>
        <w:autoSpaceDE/>
        <w:autoSpaceDN/>
        <w:bidi w:val="0"/>
        <w:adjustRightInd w:val="0"/>
        <w:snapToGrid w:val="0"/>
        <w:spacing w:before="0" w:beforeAutospacing="0" w:after="0" w:afterAutospacing="0" w:line="360" w:lineRule="exact"/>
        <w:ind w:firstLine="424" w:firstLineChars="202"/>
        <w:textAlignment w:val="auto"/>
        <w:rPr>
          <w:rFonts w:ascii="宋体" w:eastAsia="宋体" w:hAnsi="宋体" w:cs="宋体" w:hint="eastAsia"/>
          <w:snapToGrid w:val="0"/>
          <w:color w:val="auto"/>
          <w:sz w:val="21"/>
          <w:szCs w:val="21"/>
        </w:rPr>
      </w:pPr>
      <w:r>
        <w:rPr>
          <w:rFonts w:ascii="宋体" w:eastAsia="宋体" w:hAnsi="宋体" w:cs="宋体" w:hint="eastAsia"/>
          <w:snapToGrid w:val="0"/>
          <w:color w:val="auto"/>
          <w:sz w:val="21"/>
          <w:szCs w:val="21"/>
        </w:rPr>
        <w:t>（5）参与本项目政府采购活动不存在与其他采购参加人串通投标，隐瞒真实情况，提供虚假资料等违法违规情形（须按本项目投标文件格式要求提供《政府采购投标及履约承诺函》）；</w:t>
      </w:r>
    </w:p>
    <w:p>
      <w:pPr>
        <w:pStyle w:val="p9"/>
        <w:keepNext w:val="0"/>
        <w:keepLines w:val="0"/>
        <w:pageBreakBefore w:val="0"/>
        <w:kinsoku/>
        <w:wordWrap/>
        <w:overflowPunct/>
        <w:topLinePunct w:val="0"/>
        <w:autoSpaceDE/>
        <w:autoSpaceDN/>
        <w:bidi w:val="0"/>
        <w:adjustRightInd w:val="0"/>
        <w:snapToGrid w:val="0"/>
        <w:spacing w:before="0" w:beforeAutospacing="0" w:after="0" w:afterAutospacing="0" w:line="360" w:lineRule="exact"/>
        <w:ind w:firstLine="424" w:firstLineChars="202"/>
        <w:textAlignment w:val="auto"/>
        <w:rPr>
          <w:rFonts w:ascii="宋体" w:eastAsia="宋体" w:hAnsi="宋体" w:cs="宋体" w:hint="eastAsia"/>
          <w:snapToGrid w:val="0"/>
          <w:color w:val="auto"/>
          <w:sz w:val="21"/>
          <w:szCs w:val="21"/>
        </w:rPr>
      </w:pPr>
      <w:r>
        <w:rPr>
          <w:rFonts w:ascii="宋体" w:eastAsia="宋体" w:hAnsi="宋体" w:cs="宋体" w:hint="eastAsia"/>
          <w:snapToGrid w:val="0"/>
          <w:color w:val="auto"/>
          <w:sz w:val="21"/>
          <w:szCs w:val="21"/>
        </w:rPr>
        <w:t>（6）未被列入失信被执行人、重大税收违法案件当事人名单及政府采购严重违法失信行为记录名单（信用中国网“信用服务”栏的“重大税收违法失信主体”、“失信被执行人”，中国政府采购网“政府采购严重违法失信行为记录名单”，深圳信用网以及深圳市政府采购监管网为供应商信用信息查询渠道，相关信息以开标当日的查询结果为准。由采购代理机构查询，供应商无需提供证明材料）；</w:t>
      </w:r>
    </w:p>
    <w:p>
      <w:pPr>
        <w:pStyle w:val="p9"/>
        <w:adjustRightInd w:val="0"/>
        <w:snapToGrid w:val="0"/>
        <w:spacing w:before="0" w:beforeAutospacing="0" w:after="0" w:afterAutospacing="0" w:line="360" w:lineRule="auto"/>
        <w:ind w:firstLine="424" w:firstLineChars="202"/>
        <w:rPr>
          <w:rFonts w:asciiTheme="minorEastAsia" w:eastAsiaTheme="minorEastAsia" w:hAnsiTheme="minorEastAsia"/>
          <w:snapToGrid w:val="0"/>
          <w:color w:val="auto"/>
          <w:sz w:val="21"/>
        </w:rPr>
      </w:pPr>
      <w:r>
        <w:rPr>
          <w:rFonts w:ascii="宋体" w:eastAsia="宋体" w:hAnsi="宋体" w:cs="宋体" w:hint="eastAsia"/>
          <w:snapToGrid w:val="0"/>
          <w:color w:val="auto"/>
          <w:sz w:val="21"/>
          <w:szCs w:val="21"/>
        </w:rPr>
        <w:t>（7）本项目接受联合体投标</w:t>
      </w:r>
      <w:r>
        <w:rPr>
          <w:rFonts w:ascii="宋体" w:eastAsia="宋体" w:hAnsi="宋体" w:cs="宋体" w:hint="eastAsia"/>
          <w:snapToGrid w:val="0"/>
          <w:color w:val="auto"/>
          <w:sz w:val="21"/>
          <w:szCs w:val="21"/>
          <w:lang w:eastAsia="zh-CN"/>
        </w:rPr>
        <w:t>，</w:t>
      </w:r>
      <w:r>
        <w:rPr>
          <w:rFonts w:ascii="宋体" w:eastAsia="宋体" w:hAnsi="宋体" w:cs="宋体" w:hint="eastAsia"/>
          <w:snapToGrid w:val="0"/>
          <w:color w:val="auto"/>
          <w:sz w:val="21"/>
          <w:szCs w:val="21"/>
          <w:lang w:val="en-US" w:eastAsia="zh-CN"/>
        </w:rPr>
        <w:t>不接受分包转包。</w:t>
      </w:r>
      <w:r>
        <w:rPr>
          <w:rFonts w:asciiTheme="minorEastAsia" w:eastAsiaTheme="minorEastAsia" w:hAnsiTheme="minorEastAsia" w:hint="eastAsia"/>
          <w:snapToGrid w:val="0"/>
          <w:color w:val="auto"/>
          <w:sz w:val="21"/>
        </w:rPr>
        <w:t>以联合体投标的供应商应同时满足以下条件：</w:t>
      </w:r>
    </w:p>
    <w:p>
      <w:pPr>
        <w:pStyle w:val="p9"/>
        <w:adjustRightInd w:val="0"/>
        <w:snapToGrid w:val="0"/>
        <w:spacing w:before="0" w:beforeAutospacing="0" w:after="0" w:afterAutospacing="0" w:line="360" w:lineRule="auto"/>
        <w:ind w:firstLine="424" w:firstLineChars="202"/>
        <w:rPr>
          <w:rFonts w:asciiTheme="minorEastAsia" w:eastAsiaTheme="minorEastAsia" w:hAnsiTheme="minorEastAsia"/>
          <w:snapToGrid w:val="0"/>
          <w:color w:val="auto"/>
          <w:sz w:val="21"/>
        </w:rPr>
      </w:pPr>
      <w:r>
        <w:rPr>
          <w:rFonts w:asciiTheme="minorEastAsia" w:eastAsiaTheme="minorEastAsia" w:hAnsiTheme="minorEastAsia" w:hint="eastAsia"/>
          <w:snapToGrid w:val="0"/>
          <w:color w:val="auto"/>
          <w:sz w:val="21"/>
        </w:rPr>
        <w:t>①按本项目投标文件格式要求提供《联合体投标协议》，联合体组成成员不得超过</w:t>
      </w:r>
      <w:r>
        <w:rPr>
          <w:rFonts w:asciiTheme="minorEastAsia" w:eastAsiaTheme="minorEastAsia" w:hAnsiTheme="minorEastAsia" w:hint="eastAsia"/>
          <w:snapToGrid w:val="0"/>
          <w:color w:val="auto"/>
          <w:sz w:val="21"/>
          <w:lang w:val="en-US" w:eastAsia="zh-CN"/>
        </w:rPr>
        <w:t>2</w:t>
      </w:r>
      <w:r>
        <w:rPr>
          <w:rFonts w:asciiTheme="minorEastAsia" w:eastAsiaTheme="minorEastAsia" w:hAnsiTheme="minorEastAsia" w:hint="eastAsia"/>
          <w:snapToGrid w:val="0"/>
          <w:color w:val="auto"/>
          <w:sz w:val="21"/>
        </w:rPr>
        <w:t xml:space="preserve"> 家（含</w:t>
      </w:r>
      <w:r>
        <w:rPr>
          <w:rFonts w:asciiTheme="minorEastAsia" w:eastAsiaTheme="minorEastAsia" w:hAnsiTheme="minorEastAsia" w:hint="eastAsia"/>
          <w:snapToGrid w:val="0"/>
          <w:color w:val="auto"/>
          <w:sz w:val="21"/>
          <w:lang w:val="en-US" w:eastAsia="zh-CN"/>
        </w:rPr>
        <w:t>2</w:t>
      </w:r>
      <w:r>
        <w:rPr>
          <w:rFonts w:asciiTheme="minorEastAsia" w:eastAsiaTheme="minorEastAsia" w:hAnsiTheme="minorEastAsia" w:hint="eastAsia"/>
          <w:snapToGrid w:val="0"/>
          <w:color w:val="auto"/>
          <w:sz w:val="21"/>
        </w:rPr>
        <w:t xml:space="preserve"> 家）；</w:t>
      </w:r>
    </w:p>
    <w:p>
      <w:pPr>
        <w:pStyle w:val="p9"/>
        <w:adjustRightInd w:val="0"/>
        <w:snapToGrid w:val="0"/>
        <w:spacing w:before="0" w:beforeAutospacing="0" w:after="0" w:afterAutospacing="0" w:line="360" w:lineRule="auto"/>
        <w:ind w:firstLine="424" w:firstLineChars="202"/>
        <w:rPr>
          <w:rFonts w:asciiTheme="minorEastAsia" w:eastAsiaTheme="minorEastAsia" w:hAnsiTheme="minorEastAsia"/>
          <w:snapToGrid w:val="0"/>
          <w:color w:val="auto"/>
          <w:sz w:val="21"/>
        </w:rPr>
      </w:pPr>
      <w:r>
        <w:rPr>
          <w:rFonts w:asciiTheme="minorEastAsia" w:eastAsiaTheme="minorEastAsia" w:hAnsiTheme="minorEastAsia" w:hint="eastAsia"/>
          <w:snapToGrid w:val="0"/>
          <w:color w:val="auto"/>
          <w:sz w:val="21"/>
        </w:rPr>
        <w:t>②联合体各方不得再单独参加或者与其他供应商另外组成联合体参加同一合同项下的政府采购活动。</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textAlignment w:val="auto"/>
        <w:rPr>
          <w:rFonts w:ascii="宋体" w:eastAsia="宋体" w:hAnsi="宋体" w:cs="宋体" w:hint="eastAsia"/>
          <w:sz w:val="21"/>
          <w:szCs w:val="21"/>
        </w:rPr>
      </w:pP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textAlignment w:val="auto"/>
        <w:rPr>
          <w:rFonts w:ascii="宋体" w:eastAsia="宋体" w:hAnsi="宋体" w:cs="宋体" w:hint="eastAsia"/>
          <w:sz w:val="21"/>
          <w:szCs w:val="21"/>
        </w:rPr>
      </w:pPr>
      <w:r>
        <w:rPr>
          <w:rFonts w:ascii="宋体" w:eastAsia="宋体" w:hAnsi="宋体" w:cs="宋体" w:hint="eastAsia"/>
          <w:sz w:val="21"/>
          <w:szCs w:val="21"/>
        </w:rPr>
        <w:t>三、获取招标文件</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0" w:firstLineChars="200"/>
        <w:textAlignment w:val="auto"/>
        <w:rPr>
          <w:rFonts w:ascii="宋体" w:eastAsia="宋体" w:hAnsi="宋体" w:cs="宋体" w:hint="eastAsia"/>
          <w:sz w:val="21"/>
          <w:szCs w:val="21"/>
        </w:rPr>
      </w:pPr>
      <w:r>
        <w:rPr>
          <w:rFonts w:ascii="宋体" w:eastAsia="宋体" w:hAnsi="宋体" w:cs="宋体" w:hint="eastAsia"/>
          <w:sz w:val="21"/>
          <w:szCs w:val="21"/>
        </w:rPr>
        <w:t>时间：</w:t>
      </w:r>
      <w:r>
        <w:rPr>
          <w:rFonts w:ascii="宋体" w:eastAsia="宋体" w:hAnsi="宋体" w:cs="宋体" w:hint="eastAsia"/>
          <w:b/>
          <w:sz w:val="21"/>
          <w:szCs w:val="21"/>
          <w:u w:val="single"/>
        </w:rPr>
        <w:t>自本公告发布之日起至</w:t>
      </w:r>
      <w:r>
        <w:rPr>
          <w:rFonts w:cs="宋体" w:hint="eastAsia"/>
          <w:b/>
          <w:sz w:val="21"/>
          <w:szCs w:val="21"/>
          <w:u w:val="single"/>
          <w:lang w:val="en-US" w:eastAsia="zh-CN"/>
        </w:rPr>
        <w:t>2025</w:t>
      </w:r>
      <w:r>
        <w:rPr>
          <w:rFonts w:ascii="宋体" w:eastAsia="宋体" w:hAnsi="宋体" w:cs="宋体" w:hint="eastAsia"/>
          <w:b/>
          <w:sz w:val="21"/>
          <w:szCs w:val="21"/>
          <w:u w:val="single"/>
        </w:rPr>
        <w:t>年</w:t>
      </w:r>
      <w:r>
        <w:rPr>
          <w:rFonts w:cs="宋体" w:hint="eastAsia"/>
          <w:b/>
          <w:sz w:val="21"/>
          <w:szCs w:val="21"/>
          <w:u w:val="single"/>
          <w:lang w:val="en-US" w:eastAsia="zh-CN"/>
        </w:rPr>
        <w:t>1</w:t>
      </w:r>
      <w:r>
        <w:rPr>
          <w:rFonts w:ascii="宋体" w:eastAsia="宋体" w:hAnsi="宋体" w:cs="宋体" w:hint="eastAsia"/>
          <w:b/>
          <w:sz w:val="21"/>
          <w:szCs w:val="21"/>
          <w:u w:val="single"/>
        </w:rPr>
        <w:t>月</w:t>
      </w:r>
      <w:r>
        <w:rPr>
          <w:rFonts w:cs="宋体" w:hint="eastAsia"/>
          <w:b/>
          <w:sz w:val="21"/>
          <w:szCs w:val="21"/>
          <w:u w:val="single"/>
          <w:lang w:val="en-US" w:eastAsia="zh-CN"/>
        </w:rPr>
        <w:t>15</w:t>
      </w:r>
      <w:r>
        <w:rPr>
          <w:rFonts w:ascii="宋体" w:eastAsia="宋体" w:hAnsi="宋体" w:cs="宋体" w:hint="eastAsia"/>
          <w:b/>
          <w:sz w:val="21"/>
          <w:szCs w:val="21"/>
          <w:u w:val="single"/>
        </w:rPr>
        <w:t>日14:</w:t>
      </w:r>
      <w:r>
        <w:rPr>
          <w:rFonts w:cs="宋体" w:hint="eastAsia"/>
          <w:b/>
          <w:sz w:val="21"/>
          <w:szCs w:val="21"/>
          <w:u w:val="single"/>
          <w:lang w:val="en-US" w:eastAsia="zh-CN"/>
        </w:rPr>
        <w:t>30</w:t>
      </w:r>
      <w:r>
        <w:rPr>
          <w:rFonts w:ascii="宋体" w:eastAsia="宋体" w:hAnsi="宋体" w:cs="宋体" w:hint="eastAsia"/>
          <w:b/>
          <w:sz w:val="21"/>
          <w:szCs w:val="21"/>
          <w:u w:val="single"/>
        </w:rPr>
        <w:t>，每天上午0:00至12:00，下午12:00至24:00（北京时间）</w:t>
      </w:r>
      <w:r>
        <w:rPr>
          <w:rFonts w:ascii="宋体" w:eastAsia="宋体" w:hAnsi="宋体" w:cs="宋体" w:hint="eastAsia"/>
          <w:sz w:val="21"/>
          <w:szCs w:val="21"/>
        </w:rPr>
        <w:t xml:space="preserve">。 </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0" w:firstLineChars="200"/>
        <w:textAlignment w:val="auto"/>
        <w:rPr>
          <w:rFonts w:ascii="宋体" w:eastAsia="宋体" w:hAnsi="宋体" w:cs="宋体" w:hint="eastAsia"/>
          <w:sz w:val="21"/>
          <w:szCs w:val="21"/>
        </w:rPr>
      </w:pPr>
      <w:r>
        <w:rPr>
          <w:rFonts w:ascii="宋体" w:eastAsia="宋体" w:hAnsi="宋体" w:cs="宋体" w:hint="eastAsia"/>
          <w:sz w:val="21"/>
          <w:szCs w:val="21"/>
        </w:rPr>
        <w:t xml:space="preserve">地点：登录深圳政府采购智慧平台（http://zfcg.szggzy.com:8081/）下载本项目的招标文件。 </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0" w:firstLineChars="200"/>
        <w:textAlignment w:val="auto"/>
        <w:rPr>
          <w:rFonts w:ascii="宋体" w:eastAsia="宋体" w:hAnsi="宋体" w:cs="宋体" w:hint="eastAsia"/>
          <w:sz w:val="21"/>
          <w:szCs w:val="21"/>
        </w:rPr>
      </w:pPr>
      <w:r>
        <w:rPr>
          <w:rFonts w:ascii="宋体" w:eastAsia="宋体" w:hAnsi="宋体" w:cs="宋体" w:hint="eastAsia"/>
          <w:sz w:val="21"/>
          <w:szCs w:val="21"/>
        </w:rPr>
        <w:t xml:space="preserve">方式：在线下载。 </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0" w:firstLineChars="200"/>
        <w:textAlignment w:val="auto"/>
        <w:rPr>
          <w:rFonts w:ascii="宋体" w:eastAsia="宋体" w:hAnsi="宋体" w:cs="宋体" w:hint="eastAsia"/>
          <w:sz w:val="21"/>
          <w:szCs w:val="21"/>
        </w:rPr>
      </w:pPr>
      <w:r>
        <w:rPr>
          <w:rFonts w:ascii="宋体" w:eastAsia="宋体" w:hAnsi="宋体" w:cs="宋体" w:hint="eastAsia"/>
          <w:sz w:val="21"/>
          <w:szCs w:val="21"/>
        </w:rPr>
        <w:t>售价：免费。</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0" w:firstLineChars="200"/>
        <w:textAlignment w:val="auto"/>
        <w:rPr>
          <w:rFonts w:ascii="宋体" w:eastAsia="宋体" w:hAnsi="宋体" w:cs="宋体" w:hint="eastAsia"/>
          <w:sz w:val="21"/>
          <w:szCs w:val="21"/>
        </w:rPr>
      </w:pP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textAlignment w:val="auto"/>
        <w:rPr>
          <w:rFonts w:ascii="宋体" w:eastAsia="宋体" w:hAnsi="宋体" w:cs="宋体" w:hint="eastAsia"/>
          <w:sz w:val="21"/>
          <w:szCs w:val="21"/>
        </w:rPr>
      </w:pPr>
      <w:r>
        <w:rPr>
          <w:rFonts w:ascii="宋体" w:eastAsia="宋体" w:hAnsi="宋体" w:cs="宋体" w:hint="eastAsia"/>
          <w:sz w:val="21"/>
          <w:szCs w:val="21"/>
        </w:rPr>
        <w:t>四、提交投标文件截止时间、开标时间和地点</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1</w:t>
      </w:r>
      <w:r>
        <w:rPr>
          <w:rFonts w:ascii="宋体" w:eastAsia="宋体" w:hAnsi="宋体" w:cs="宋体" w:hint="eastAsia"/>
          <w:sz w:val="21"/>
          <w:szCs w:val="21"/>
          <w:lang w:val="en-US" w:eastAsia="zh-CN"/>
        </w:rPr>
        <w:t>.</w:t>
      </w:r>
      <w:r>
        <w:rPr>
          <w:rFonts w:ascii="宋体" w:eastAsia="宋体" w:hAnsi="宋体" w:cs="宋体" w:hint="eastAsia"/>
          <w:sz w:val="21"/>
          <w:szCs w:val="21"/>
        </w:rPr>
        <w:t>投标截止时间：所有投标文件应于</w:t>
      </w:r>
      <w:r>
        <w:rPr>
          <w:rFonts w:cs="宋体" w:hint="eastAsia"/>
          <w:b/>
          <w:sz w:val="21"/>
          <w:szCs w:val="21"/>
          <w:u w:val="single"/>
          <w:lang w:val="en-US" w:eastAsia="zh-CN"/>
        </w:rPr>
        <w:t>2025</w:t>
      </w:r>
      <w:r>
        <w:rPr>
          <w:rFonts w:ascii="宋体" w:eastAsia="宋体" w:hAnsi="宋体" w:cs="宋体" w:hint="eastAsia"/>
          <w:b/>
          <w:sz w:val="21"/>
          <w:szCs w:val="21"/>
          <w:u w:val="single"/>
        </w:rPr>
        <w:t>年</w:t>
      </w:r>
      <w:r>
        <w:rPr>
          <w:rFonts w:cs="宋体" w:hint="eastAsia"/>
          <w:b/>
          <w:sz w:val="21"/>
          <w:szCs w:val="21"/>
          <w:u w:val="single"/>
          <w:lang w:val="en-US" w:eastAsia="zh-CN"/>
        </w:rPr>
        <w:t>1</w:t>
      </w:r>
      <w:r>
        <w:rPr>
          <w:rFonts w:ascii="宋体" w:eastAsia="宋体" w:hAnsi="宋体" w:cs="宋体" w:hint="eastAsia"/>
          <w:b/>
          <w:sz w:val="21"/>
          <w:szCs w:val="21"/>
          <w:u w:val="single"/>
        </w:rPr>
        <w:t>月</w:t>
      </w:r>
      <w:r>
        <w:rPr>
          <w:rFonts w:cs="宋体" w:hint="eastAsia"/>
          <w:b/>
          <w:sz w:val="21"/>
          <w:szCs w:val="21"/>
          <w:u w:val="single"/>
          <w:lang w:val="en-US" w:eastAsia="zh-CN"/>
        </w:rPr>
        <w:t>15</w:t>
      </w:r>
      <w:r>
        <w:rPr>
          <w:rFonts w:ascii="宋体" w:eastAsia="宋体" w:hAnsi="宋体" w:cs="宋体" w:hint="eastAsia"/>
          <w:b/>
          <w:sz w:val="21"/>
          <w:szCs w:val="21"/>
          <w:u w:val="single"/>
        </w:rPr>
        <w:t>日14:</w:t>
      </w:r>
      <w:r>
        <w:rPr>
          <w:rFonts w:cs="宋体" w:hint="eastAsia"/>
          <w:b/>
          <w:sz w:val="21"/>
          <w:szCs w:val="21"/>
          <w:u w:val="single"/>
          <w:lang w:val="en-US" w:eastAsia="zh-CN"/>
        </w:rPr>
        <w:t>30</w:t>
      </w:r>
      <w:r>
        <w:rPr>
          <w:rFonts w:ascii="宋体" w:eastAsia="宋体" w:hAnsi="宋体" w:cs="宋体" w:hint="eastAsia"/>
          <w:b/>
          <w:sz w:val="21"/>
          <w:szCs w:val="21"/>
          <w:u w:val="single"/>
        </w:rPr>
        <w:t>（北京时间）</w:t>
      </w:r>
      <w:r>
        <w:rPr>
          <w:rFonts w:ascii="宋体" w:eastAsia="宋体" w:hAnsi="宋体" w:cs="宋体" w:hint="eastAsia"/>
          <w:sz w:val="21"/>
          <w:szCs w:val="21"/>
        </w:rPr>
        <w:t>之前上传到深圳政府采购智慧平台（http://zfcg.szggzy.com:8081/）。</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2</w:t>
      </w:r>
      <w:r>
        <w:rPr>
          <w:rFonts w:ascii="宋体" w:eastAsia="宋体" w:hAnsi="宋体" w:cs="宋体" w:hint="eastAsia"/>
          <w:sz w:val="21"/>
          <w:szCs w:val="21"/>
          <w:lang w:val="en-US" w:eastAsia="zh-CN"/>
        </w:rPr>
        <w:t>.</w:t>
      </w:r>
      <w:r>
        <w:rPr>
          <w:rFonts w:ascii="宋体" w:eastAsia="宋体" w:hAnsi="宋体" w:cs="宋体" w:hint="eastAsia"/>
          <w:sz w:val="21"/>
          <w:szCs w:val="21"/>
        </w:rPr>
        <w:t>开标时间和地点：定于</w:t>
      </w:r>
      <w:r>
        <w:rPr>
          <w:rFonts w:cs="宋体" w:hint="eastAsia"/>
          <w:b/>
          <w:sz w:val="21"/>
          <w:szCs w:val="21"/>
          <w:u w:val="single"/>
          <w:lang w:val="en-US" w:eastAsia="zh-CN"/>
        </w:rPr>
        <w:t>2025</w:t>
      </w:r>
      <w:r>
        <w:rPr>
          <w:rFonts w:ascii="宋体" w:eastAsia="宋体" w:hAnsi="宋体" w:cs="宋体" w:hint="eastAsia"/>
          <w:b/>
          <w:sz w:val="21"/>
          <w:szCs w:val="21"/>
          <w:u w:val="single"/>
        </w:rPr>
        <w:t>年</w:t>
      </w:r>
      <w:r>
        <w:rPr>
          <w:rFonts w:cs="宋体" w:hint="eastAsia"/>
          <w:b/>
          <w:sz w:val="21"/>
          <w:szCs w:val="21"/>
          <w:u w:val="single"/>
          <w:lang w:val="en-US" w:eastAsia="zh-CN"/>
        </w:rPr>
        <w:t>1</w:t>
      </w:r>
      <w:r>
        <w:rPr>
          <w:rFonts w:ascii="宋体" w:eastAsia="宋体" w:hAnsi="宋体" w:cs="宋体" w:hint="eastAsia"/>
          <w:b/>
          <w:sz w:val="21"/>
          <w:szCs w:val="21"/>
          <w:u w:val="single"/>
        </w:rPr>
        <w:t>月</w:t>
      </w:r>
      <w:r>
        <w:rPr>
          <w:rFonts w:cs="宋体" w:hint="eastAsia"/>
          <w:b/>
          <w:sz w:val="21"/>
          <w:szCs w:val="21"/>
          <w:u w:val="single"/>
          <w:lang w:val="en-US" w:eastAsia="zh-CN"/>
        </w:rPr>
        <w:t>15</w:t>
      </w:r>
      <w:r>
        <w:rPr>
          <w:rFonts w:ascii="宋体" w:eastAsia="宋体" w:hAnsi="宋体" w:cs="宋体" w:hint="eastAsia"/>
          <w:b/>
          <w:sz w:val="21"/>
          <w:szCs w:val="21"/>
          <w:u w:val="single"/>
        </w:rPr>
        <w:t>日14:</w:t>
      </w:r>
      <w:r>
        <w:rPr>
          <w:rFonts w:cs="宋体" w:hint="eastAsia"/>
          <w:b/>
          <w:sz w:val="21"/>
          <w:szCs w:val="21"/>
          <w:u w:val="single"/>
          <w:lang w:val="en-US" w:eastAsia="zh-CN"/>
        </w:rPr>
        <w:t>30</w:t>
      </w:r>
      <w:r>
        <w:rPr>
          <w:rFonts w:ascii="宋体" w:eastAsia="宋体" w:hAnsi="宋体" w:cs="宋体" w:hint="eastAsia"/>
          <w:b/>
          <w:sz w:val="21"/>
          <w:szCs w:val="21"/>
          <w:u w:val="single"/>
        </w:rPr>
        <w:t>（北京时间）</w:t>
      </w:r>
      <w:r>
        <w:rPr>
          <w:rFonts w:ascii="宋体" w:eastAsia="宋体" w:hAnsi="宋体" w:cs="宋体" w:hint="eastAsia"/>
          <w:sz w:val="21"/>
          <w:szCs w:val="21"/>
        </w:rPr>
        <w:t>，在深圳市中正招标有限公司公开开标。</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b/>
          <w:sz w:val="21"/>
          <w:szCs w:val="21"/>
        </w:rPr>
      </w:pPr>
      <w:r>
        <w:rPr>
          <w:rFonts w:ascii="宋体" w:eastAsia="宋体" w:hAnsi="宋体" w:cs="宋体" w:hint="eastAsia"/>
          <w:b/>
          <w:sz w:val="21"/>
          <w:szCs w:val="21"/>
        </w:rPr>
        <w:t>3</w:t>
      </w:r>
      <w:r>
        <w:rPr>
          <w:rFonts w:ascii="宋体" w:eastAsia="宋体" w:hAnsi="宋体" w:cs="宋体" w:hint="eastAsia"/>
          <w:b/>
          <w:sz w:val="21"/>
          <w:szCs w:val="21"/>
          <w:lang w:val="en-US" w:eastAsia="zh-CN"/>
        </w:rPr>
        <w:t>.</w:t>
      </w:r>
      <w:r>
        <w:rPr>
          <w:rFonts w:ascii="宋体" w:eastAsia="宋体" w:hAnsi="宋体" w:cs="宋体" w:hint="eastAsia"/>
          <w:b/>
          <w:sz w:val="21"/>
          <w:szCs w:val="21"/>
        </w:rPr>
        <w:t>在线解密：投标人须在</w:t>
      </w:r>
      <w:r>
        <w:rPr>
          <w:rFonts w:cs="宋体" w:hint="eastAsia"/>
          <w:b/>
          <w:sz w:val="21"/>
          <w:szCs w:val="21"/>
          <w:u w:val="single"/>
          <w:lang w:val="en-US" w:eastAsia="zh-CN"/>
        </w:rPr>
        <w:t>2025</w:t>
      </w:r>
      <w:r>
        <w:rPr>
          <w:rFonts w:ascii="宋体" w:eastAsia="宋体" w:hAnsi="宋体" w:cs="宋体" w:hint="eastAsia"/>
          <w:b/>
          <w:sz w:val="21"/>
          <w:szCs w:val="21"/>
          <w:u w:val="single"/>
        </w:rPr>
        <w:t>年</w:t>
      </w:r>
      <w:r>
        <w:rPr>
          <w:rFonts w:cs="宋体" w:hint="eastAsia"/>
          <w:b/>
          <w:sz w:val="21"/>
          <w:szCs w:val="21"/>
          <w:u w:val="single"/>
          <w:lang w:val="en-US" w:eastAsia="zh-CN"/>
        </w:rPr>
        <w:t>1</w:t>
      </w:r>
      <w:r>
        <w:rPr>
          <w:rFonts w:ascii="宋体" w:eastAsia="宋体" w:hAnsi="宋体" w:cs="宋体" w:hint="eastAsia"/>
          <w:b/>
          <w:sz w:val="21"/>
          <w:szCs w:val="21"/>
          <w:u w:val="single"/>
        </w:rPr>
        <w:t>月</w:t>
      </w:r>
      <w:r>
        <w:rPr>
          <w:rFonts w:cs="宋体" w:hint="eastAsia"/>
          <w:b/>
          <w:sz w:val="21"/>
          <w:szCs w:val="21"/>
          <w:u w:val="single"/>
          <w:lang w:val="en-US" w:eastAsia="zh-CN"/>
        </w:rPr>
        <w:t>15</w:t>
      </w:r>
      <w:r>
        <w:rPr>
          <w:rFonts w:ascii="宋体" w:eastAsia="宋体" w:hAnsi="宋体" w:cs="宋体" w:hint="eastAsia"/>
          <w:b/>
          <w:sz w:val="21"/>
          <w:szCs w:val="21"/>
          <w:u w:val="single"/>
        </w:rPr>
        <w:t>日14:</w:t>
      </w:r>
      <w:r>
        <w:rPr>
          <w:rFonts w:cs="宋体" w:hint="eastAsia"/>
          <w:b/>
          <w:sz w:val="21"/>
          <w:szCs w:val="21"/>
          <w:u w:val="single"/>
          <w:lang w:val="en-US" w:eastAsia="zh-CN"/>
        </w:rPr>
        <w:t>30</w:t>
      </w:r>
      <w:r>
        <w:rPr>
          <w:rFonts w:ascii="宋体" w:eastAsia="宋体" w:hAnsi="宋体" w:cs="宋体" w:hint="eastAsia"/>
          <w:b/>
          <w:sz w:val="21"/>
          <w:szCs w:val="21"/>
          <w:u w:val="single"/>
        </w:rPr>
        <w:t>-15:00（北京时间）</w:t>
      </w:r>
      <w:r>
        <w:rPr>
          <w:rFonts w:ascii="宋体" w:eastAsia="宋体" w:hAnsi="宋体" w:cs="宋体" w:hint="eastAsia"/>
          <w:b/>
          <w:sz w:val="21"/>
          <w:szCs w:val="21"/>
        </w:rPr>
        <w:t>期间进行解密，逾期未解密的作无效处理。</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lang w:eastAsia="zh-CN"/>
        </w:rPr>
      </w:pPr>
      <w:r>
        <w:rPr>
          <w:rFonts w:ascii="宋体" w:eastAsia="宋体" w:hAnsi="宋体" w:cs="宋体" w:hint="eastAsia"/>
          <w:sz w:val="21"/>
          <w:szCs w:val="21"/>
        </w:rPr>
        <w:t>4</w:t>
      </w:r>
      <w:r>
        <w:rPr>
          <w:rFonts w:ascii="宋体" w:eastAsia="宋体" w:hAnsi="宋体" w:cs="宋体" w:hint="eastAsia"/>
          <w:sz w:val="21"/>
          <w:szCs w:val="21"/>
          <w:lang w:val="en-US" w:eastAsia="zh-CN"/>
        </w:rPr>
        <w:t>.</w:t>
      </w:r>
      <w:r>
        <w:rPr>
          <w:rFonts w:ascii="宋体" w:eastAsia="宋体" w:hAnsi="宋体" w:cs="宋体" w:hint="eastAsia"/>
          <w:sz w:val="21"/>
          <w:szCs w:val="21"/>
        </w:rPr>
        <w:t>其他说明</w:t>
      </w:r>
      <w:r>
        <w:rPr>
          <w:rFonts w:ascii="宋体" w:eastAsia="宋体" w:hAnsi="宋体" w:cs="宋体" w:hint="eastAsia"/>
          <w:sz w:val="21"/>
          <w:szCs w:val="21"/>
          <w:lang w:eastAsia="zh-CN"/>
        </w:rPr>
        <w:t>：无。</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left="420" w:leftChars="200"/>
        <w:textAlignment w:val="auto"/>
        <w:rPr>
          <w:rFonts w:ascii="宋体" w:eastAsia="宋体" w:hAnsi="宋体" w:cs="宋体" w:hint="eastAsia"/>
          <w:sz w:val="21"/>
          <w:szCs w:val="21"/>
        </w:rPr>
      </w:pP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textAlignment w:val="auto"/>
        <w:rPr>
          <w:rFonts w:ascii="宋体" w:eastAsia="宋体" w:hAnsi="宋体" w:cs="宋体" w:hint="eastAsia"/>
          <w:sz w:val="21"/>
          <w:szCs w:val="21"/>
        </w:rPr>
      </w:pPr>
      <w:r>
        <w:rPr>
          <w:rFonts w:ascii="宋体" w:eastAsia="宋体" w:hAnsi="宋体" w:cs="宋体" w:hint="eastAsia"/>
          <w:sz w:val="21"/>
          <w:szCs w:val="21"/>
        </w:rPr>
        <w:t>五、公告期限</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0" w:firstLineChars="200"/>
        <w:textAlignment w:val="auto"/>
        <w:rPr>
          <w:rFonts w:ascii="宋体" w:eastAsia="宋体" w:hAnsi="宋体" w:cs="宋体" w:hint="eastAsia"/>
          <w:sz w:val="21"/>
          <w:szCs w:val="21"/>
        </w:rPr>
      </w:pPr>
      <w:r>
        <w:rPr>
          <w:rFonts w:ascii="宋体" w:eastAsia="宋体" w:hAnsi="宋体" w:cs="宋体" w:hint="eastAsia"/>
          <w:sz w:val="21"/>
          <w:szCs w:val="21"/>
        </w:rPr>
        <w:t>自本公告发布之日起5个工作日。</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0" w:firstLineChars="200"/>
        <w:textAlignment w:val="auto"/>
        <w:rPr>
          <w:rFonts w:ascii="宋体" w:eastAsia="宋体" w:hAnsi="宋体" w:cs="宋体" w:hint="eastAsia"/>
          <w:sz w:val="21"/>
          <w:szCs w:val="21"/>
        </w:rPr>
      </w:pP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textAlignment w:val="auto"/>
        <w:rPr>
          <w:rFonts w:ascii="宋体" w:eastAsia="宋体" w:hAnsi="宋体" w:cs="宋体" w:hint="eastAsia"/>
          <w:sz w:val="21"/>
          <w:szCs w:val="21"/>
        </w:rPr>
      </w:pPr>
      <w:r>
        <w:rPr>
          <w:rFonts w:ascii="宋体" w:eastAsia="宋体" w:hAnsi="宋体" w:cs="宋体" w:hint="eastAsia"/>
          <w:sz w:val="21"/>
          <w:szCs w:val="21"/>
        </w:rPr>
        <w:t>六、其他补充事宜</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1</w:t>
      </w:r>
      <w:r>
        <w:rPr>
          <w:rFonts w:ascii="宋体" w:eastAsia="宋体" w:hAnsi="宋体" w:cs="宋体" w:hint="eastAsia"/>
          <w:sz w:val="21"/>
          <w:szCs w:val="21"/>
          <w:lang w:val="en-US" w:eastAsia="zh-CN"/>
        </w:rPr>
        <w:t>.</w:t>
      </w:r>
      <w:r>
        <w:rPr>
          <w:rFonts w:ascii="宋体" w:eastAsia="宋体" w:hAnsi="宋体" w:cs="宋体" w:hint="eastAsia"/>
          <w:sz w:val="21"/>
          <w:szCs w:val="21"/>
        </w:rPr>
        <w:t>本项目实行网上投标，采用电子投标文件。</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lang w:eastAsia="zh-CN"/>
        </w:rPr>
      </w:pPr>
      <w:r>
        <w:rPr>
          <w:rFonts w:ascii="宋体" w:eastAsia="宋体" w:hAnsi="宋体" w:cs="宋体" w:hint="eastAsia"/>
          <w:sz w:val="21"/>
          <w:szCs w:val="21"/>
        </w:rPr>
        <w:t>2</w:t>
      </w:r>
      <w:r>
        <w:rPr>
          <w:rFonts w:ascii="宋体" w:eastAsia="宋体" w:hAnsi="宋体" w:cs="宋体" w:hint="eastAsia"/>
          <w:sz w:val="21"/>
          <w:szCs w:val="21"/>
          <w:lang w:val="en-US" w:eastAsia="zh-CN"/>
        </w:rPr>
        <w:t>.</w:t>
      </w:r>
      <w:r>
        <w:rPr>
          <w:rFonts w:ascii="宋体" w:eastAsia="宋体" w:hAnsi="宋体" w:cs="宋体" w:hint="eastAsia"/>
          <w:sz w:val="21"/>
          <w:szCs w:val="21"/>
        </w:rPr>
        <w:t>报名操作：投标人如确定参加投标，首先要在深圳政府采购智慧平台网上办事子系统（http://zfcg.szggzy.com:8081/TPBidder/memberLogin）网上报名投标，方法为登陆网上办事子系统后点击“【招标公告】→【我要报名】”；如果网上报名后上传了投标文件，又不参加投标，应再到【我的项目】→【项目流程】→【递交投标(应答)文件】功能点中进行“【撤回本次投标】”操作；如果是未注册为深圳政府采购智慧平台（http://zfcg.szggzy.com:8081/）的供应商，请先办理密钥（请点击），并前往深圳公共资源交易中心绑定深圳政府采购智慧平台用户（电子密钥办理咨询电话：0755-83948165、0755-83938966、020-89524338），再进行投标报名。在网上报名后，点击“【我的项目】→【项目流程】→【采购文件下载】”进行招标文件的下载</w:t>
      </w:r>
      <w:r>
        <w:rPr>
          <w:rFonts w:ascii="宋体" w:eastAsia="宋体" w:hAnsi="宋体" w:cs="宋体" w:hint="eastAsia"/>
          <w:sz w:val="21"/>
          <w:szCs w:val="21"/>
          <w:lang w:eastAsia="zh-CN"/>
        </w:rPr>
        <w:t>。</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lang w:eastAsia="zh-CN"/>
        </w:rPr>
      </w:pPr>
      <w:r>
        <w:rPr>
          <w:rFonts w:ascii="宋体" w:eastAsia="宋体" w:hAnsi="宋体" w:cs="宋体" w:hint="eastAsia"/>
          <w:sz w:val="21"/>
          <w:szCs w:val="21"/>
          <w:lang w:eastAsia="zh-CN"/>
        </w:rPr>
        <w:t>3.开标操作：供应商可以登录“深圳政府采购智慧平台用户网上办事子系统（http://zfcg.szggzy.com:8081/TPBidder/memberLogin）”，在“【我的项目】→【项目流程】→【开标及解密】”进行在线解密、查询开标情况。</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lang w:eastAsia="zh-CN"/>
        </w:rPr>
      </w:pPr>
      <w:r>
        <w:rPr>
          <w:rFonts w:ascii="宋体" w:eastAsia="宋体" w:hAnsi="宋体" w:cs="宋体" w:hint="eastAsia"/>
          <w:sz w:val="21"/>
          <w:szCs w:val="21"/>
          <w:lang w:eastAsia="zh-CN"/>
        </w:rPr>
        <w:t>4.投标操作：具体操作为登录“深圳政府采购智慧平台用户网上办事子系统（http://zfcg.szggzy.com:8081/TPBidder/memberLogin）”，用“【我的项目】→【项目流程】→【递交投标(应答)文件】”功能点上传投标文件。本项目电子投标文件最大容量为200MB，单个节点文件不能超过50MB，超过此容量的文件将被拒绝。</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lang w:val="en-US" w:eastAsia="zh-CN"/>
        </w:rPr>
        <w:t>5.</w:t>
      </w:r>
      <w:r>
        <w:rPr>
          <w:rFonts w:ascii="宋体" w:eastAsia="宋体" w:hAnsi="宋体" w:cs="宋体" w:hint="eastAsia"/>
          <w:sz w:val="21"/>
          <w:szCs w:val="21"/>
        </w:rPr>
        <w:t>采购文件澄清/修改事项：</w:t>
      </w:r>
      <w:r>
        <w:rPr>
          <w:rFonts w:cs="宋体" w:hint="eastAsia"/>
          <w:b/>
          <w:sz w:val="21"/>
          <w:szCs w:val="21"/>
          <w:u w:val="single"/>
          <w:lang w:val="en-US" w:eastAsia="zh-CN"/>
        </w:rPr>
        <w:t>2025</w:t>
      </w:r>
      <w:r>
        <w:rPr>
          <w:rFonts w:ascii="宋体" w:eastAsia="宋体" w:hAnsi="宋体" w:cs="宋体" w:hint="eastAsia"/>
          <w:b/>
          <w:sz w:val="21"/>
          <w:szCs w:val="21"/>
          <w:u w:val="single"/>
        </w:rPr>
        <w:t>年</w:t>
      </w:r>
      <w:r>
        <w:rPr>
          <w:rFonts w:cs="宋体" w:hint="eastAsia"/>
          <w:b/>
          <w:sz w:val="21"/>
          <w:szCs w:val="21"/>
          <w:u w:val="single"/>
          <w:lang w:val="en-US" w:eastAsia="zh-CN"/>
        </w:rPr>
        <w:t>1</w:t>
      </w:r>
      <w:r>
        <w:rPr>
          <w:rFonts w:ascii="宋体" w:eastAsia="宋体" w:hAnsi="宋体" w:cs="宋体" w:hint="eastAsia"/>
          <w:b/>
          <w:sz w:val="21"/>
          <w:szCs w:val="21"/>
          <w:u w:val="single"/>
        </w:rPr>
        <w:t>月</w:t>
      </w:r>
      <w:r>
        <w:rPr>
          <w:rFonts w:cs="宋体" w:hint="eastAsia"/>
          <w:b/>
          <w:sz w:val="21"/>
          <w:szCs w:val="21"/>
          <w:u w:val="single"/>
          <w:lang w:val="en-US" w:eastAsia="zh-CN"/>
        </w:rPr>
        <w:t>10</w:t>
      </w:r>
      <w:r>
        <w:rPr>
          <w:rFonts w:ascii="宋体" w:eastAsia="宋体" w:hAnsi="宋体" w:cs="宋体" w:hint="eastAsia"/>
          <w:b/>
          <w:sz w:val="21"/>
          <w:szCs w:val="21"/>
          <w:u w:val="single"/>
        </w:rPr>
        <w:t>日00:00（北京时间）</w:t>
      </w:r>
      <w:r>
        <w:rPr>
          <w:rFonts w:ascii="宋体" w:eastAsia="宋体" w:hAnsi="宋体" w:cs="宋体" w:hint="eastAsia"/>
          <w:sz w:val="21"/>
          <w:szCs w:val="21"/>
        </w:rPr>
        <w:t>前，供应商如果认为采购文件存在不明确、不清晰和前后不一致等问题，可登录“深圳政府采购智慧平台用户网上办事子系统（http://zfcg.szggzy.com:8081/TPBidder/memberLogin）”，在“【我的项目】→【项目流程】→【提问】”功能点中填写需澄清内容。</w:t>
      </w:r>
      <w:r>
        <w:rPr>
          <w:rFonts w:cs="宋体" w:hint="eastAsia"/>
          <w:b/>
          <w:sz w:val="21"/>
          <w:szCs w:val="21"/>
          <w:u w:val="single"/>
          <w:lang w:val="en-US" w:eastAsia="zh-CN"/>
        </w:rPr>
        <w:t>2025</w:t>
      </w:r>
      <w:r>
        <w:rPr>
          <w:rFonts w:ascii="宋体" w:eastAsia="宋体" w:hAnsi="宋体" w:cs="宋体" w:hint="eastAsia"/>
          <w:b/>
          <w:sz w:val="21"/>
          <w:szCs w:val="21"/>
          <w:u w:val="single"/>
        </w:rPr>
        <w:t>年</w:t>
      </w:r>
      <w:r>
        <w:rPr>
          <w:rFonts w:cs="宋体" w:hint="eastAsia"/>
          <w:b/>
          <w:sz w:val="21"/>
          <w:szCs w:val="21"/>
          <w:u w:val="single"/>
          <w:lang w:val="en-US" w:eastAsia="zh-CN"/>
        </w:rPr>
        <w:t>1</w:t>
      </w:r>
      <w:r>
        <w:rPr>
          <w:rFonts w:ascii="宋体" w:eastAsia="宋体" w:hAnsi="宋体" w:cs="宋体" w:hint="eastAsia"/>
          <w:b/>
          <w:sz w:val="21"/>
          <w:szCs w:val="21"/>
          <w:u w:val="single"/>
        </w:rPr>
        <w:t>月</w:t>
      </w:r>
      <w:r>
        <w:rPr>
          <w:rFonts w:cs="宋体" w:hint="eastAsia"/>
          <w:b/>
          <w:sz w:val="21"/>
          <w:szCs w:val="21"/>
          <w:u w:val="single"/>
          <w:lang w:val="en-US" w:eastAsia="zh-CN"/>
        </w:rPr>
        <w:t>12</w:t>
      </w:r>
      <w:r>
        <w:rPr>
          <w:rFonts w:ascii="宋体" w:eastAsia="宋体" w:hAnsi="宋体" w:cs="宋体" w:hint="eastAsia"/>
          <w:b/>
          <w:sz w:val="21"/>
          <w:szCs w:val="21"/>
          <w:u w:val="single"/>
        </w:rPr>
        <w:t>日00:00（北京时间）</w:t>
      </w:r>
      <w:r>
        <w:rPr>
          <w:rFonts w:ascii="宋体" w:eastAsia="宋体" w:hAnsi="宋体" w:cs="宋体" w:hint="eastAsia"/>
          <w:sz w:val="21"/>
          <w:szCs w:val="21"/>
        </w:rPr>
        <w:t>前将采购文件澄清/修改情况在“【我的项目】→【项目流程】→【答疑澄清文件下载】”中公布，望投标人予以关注。</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重要提示：“提出采购文件澄清要求”不等同于“对采购文件质疑”，供应商提出的澄清要求内容如出现“质疑”字眼，将予以退回。供应商如认为采购文件存在限制性、倾向性、其权益受到损害，应在采购文件公布之日起七个工作日内以书面形式提出质疑。请质疑供应商根据深圳公共资源交易网（ https://www.szggzy.com/fwdh/fwdhzfcg/bszn1/content_203163.html ）所发布的质疑指引、质疑函模板填写质疑函并提交质疑材料。质疑材料可以采用现场或邮寄方式提交，采用邮寄方式提交的，交邮时间应在本公告发布之日起七个工作日内。质疑材料现场提交、邮寄地址：深圳市福田区民田路171号新华保险大厦903深圳市中正招标有限公司。质疑咨询电话：0755-83026699。根据《深圳经济特区政府采购条例》第四十二条“供应商投诉的事项应当是经过质疑的事项”的规定，未经正式质疑的，将影响供应商行使向财政部门提起投诉的权利。）</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lang w:val="en-US" w:eastAsia="zh-CN"/>
        </w:rPr>
        <w:t>6.</w:t>
      </w:r>
      <w:r>
        <w:rPr>
          <w:rFonts w:ascii="宋体" w:eastAsia="宋体" w:hAnsi="宋体" w:cs="宋体" w:hint="eastAsia"/>
          <w:sz w:val="21"/>
          <w:szCs w:val="21"/>
        </w:rPr>
        <w:t>深圳市中正招标有限公司有权对投标人就本项目要求提供的相关证明资料（原件）进行审查。供应商提供虚假资料被查实的，则可能面临被取消本项目中标资格、列入不良行为记录名单和三年内禁止参与深圳市政府采购活动的风险。本招标公告及本项目招标文件所涉及的时间一律为北京时间。投标人有义务在招标活动期间浏览深圳公共资源交易网（https://www.szggzy.com），在深圳公共资源交易网上公布的与本次招标项目有关的信息视为已送达各投标人。</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lang w:val="en-US" w:eastAsia="zh-CN"/>
        </w:rPr>
        <w:t>7.</w:t>
      </w:r>
      <w:r>
        <w:rPr>
          <w:rFonts w:ascii="宋体" w:eastAsia="宋体" w:hAnsi="宋体" w:cs="宋体" w:hint="eastAsia"/>
          <w:sz w:val="21"/>
          <w:szCs w:val="21"/>
        </w:rPr>
        <w:t>本项目不需要投标保证金。</w:t>
      </w:r>
    </w:p>
    <w:p>
      <w:pPr>
        <w:pStyle w:val="NormalWeb"/>
        <w:keepNext w:val="0"/>
        <w:keepLines w:val="0"/>
        <w:pageBreakBefore w:val="0"/>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8.项目中标(成交)供应商可凭借中标通知书和采购合同向金融机构申请政府采购订单融资，详情可登录深圳要素交易金融服务平台https://finance.szexgrp.com/gtm/web/guarantee/#/（或从【深圳政府采购智慧平台】点击【金服平台】），咨询电话0755-36568999转8或拨打0755-88653331。</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textAlignment w:val="auto"/>
        <w:rPr>
          <w:rFonts w:ascii="宋体" w:eastAsia="宋体" w:hAnsi="宋体" w:cs="宋体" w:hint="eastAsia"/>
          <w:sz w:val="21"/>
          <w:szCs w:val="21"/>
        </w:rPr>
      </w:pPr>
      <w:r>
        <w:rPr>
          <w:rFonts w:ascii="宋体" w:eastAsia="宋体" w:hAnsi="宋体" w:cs="宋体" w:hint="eastAsia"/>
          <w:sz w:val="21"/>
          <w:szCs w:val="21"/>
        </w:rPr>
        <w:t>七、对本次招标提出询问，请按以下方式联系。</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1</w:t>
      </w:r>
      <w:r>
        <w:rPr>
          <w:rFonts w:ascii="宋体" w:eastAsia="宋体" w:hAnsi="宋体" w:cs="宋体" w:hint="eastAsia"/>
          <w:sz w:val="21"/>
          <w:szCs w:val="21"/>
          <w:lang w:val="en-US" w:eastAsia="zh-CN"/>
        </w:rPr>
        <w:t>.</w:t>
      </w:r>
      <w:r>
        <w:rPr>
          <w:rFonts w:ascii="宋体" w:eastAsia="宋体" w:hAnsi="宋体" w:cs="宋体" w:hint="eastAsia"/>
          <w:sz w:val="21"/>
          <w:szCs w:val="21"/>
        </w:rPr>
        <w:t xml:space="preserve">采购人信息 </w:t>
      </w:r>
    </w:p>
    <w:p>
      <w:pPr>
        <w:pStyle w:val="p9"/>
        <w:keepNext w:val="0"/>
        <w:keepLines w:val="0"/>
        <w:pageBreakBefore w:val="0"/>
        <w:kinsoku/>
        <w:wordWrap/>
        <w:overflowPunct/>
        <w:topLinePunct w:val="0"/>
        <w:autoSpaceDE/>
        <w:autoSpaceDN/>
        <w:bidi w:val="0"/>
        <w:adjustRightInd w:val="0"/>
        <w:snapToGrid w:val="0"/>
        <w:spacing w:before="0" w:beforeAutospacing="0" w:after="0" w:afterAutospacing="0" w:line="360" w:lineRule="exact"/>
        <w:ind w:left="359" w:firstLine="65" w:leftChars="171" w:firstLineChars="31"/>
        <w:textAlignment w:val="auto"/>
        <w:rPr>
          <w:rFonts w:ascii="宋体" w:eastAsia="宋体" w:hAnsi="宋体" w:cs="宋体" w:hint="eastAsia"/>
          <w:snapToGrid w:val="0"/>
          <w:color w:val="auto"/>
          <w:sz w:val="21"/>
          <w:szCs w:val="21"/>
          <w:lang w:eastAsia="zh-CN"/>
        </w:rPr>
      </w:pPr>
      <w:r>
        <w:rPr>
          <w:rFonts w:ascii="宋体" w:eastAsia="宋体" w:hAnsi="宋体" w:cs="宋体" w:hint="eastAsia"/>
          <w:snapToGrid w:val="0"/>
          <w:color w:val="auto"/>
          <w:sz w:val="21"/>
          <w:szCs w:val="21"/>
        </w:rPr>
        <w:t>名称：</w:t>
      </w:r>
      <w:r>
        <w:rPr>
          <w:rFonts w:ascii="宋体" w:eastAsia="宋体" w:hAnsi="宋体" w:cs="宋体" w:hint="eastAsia"/>
          <w:snapToGrid w:val="0"/>
          <w:color w:val="auto"/>
          <w:sz w:val="21"/>
          <w:szCs w:val="21"/>
          <w:lang w:eastAsia="zh-CN"/>
        </w:rPr>
        <w:t>深圳市市场监督管理局坪山监管局 </w:t>
      </w:r>
    </w:p>
    <w:p>
      <w:pPr>
        <w:pStyle w:val="p9"/>
        <w:keepNext w:val="0"/>
        <w:keepLines w:val="0"/>
        <w:pageBreakBefore w:val="0"/>
        <w:kinsoku/>
        <w:wordWrap/>
        <w:overflowPunct/>
        <w:topLinePunct w:val="0"/>
        <w:autoSpaceDE/>
        <w:autoSpaceDN/>
        <w:bidi w:val="0"/>
        <w:adjustRightInd w:val="0"/>
        <w:snapToGrid w:val="0"/>
        <w:spacing w:before="0" w:beforeAutospacing="0" w:after="0" w:afterAutospacing="0" w:line="360" w:lineRule="exact"/>
        <w:ind w:left="359" w:firstLine="65" w:leftChars="171" w:firstLineChars="31"/>
        <w:textAlignment w:val="auto"/>
        <w:rPr>
          <w:rFonts w:ascii="宋体" w:eastAsia="宋体" w:hAnsi="宋体" w:cs="宋体" w:hint="eastAsia"/>
          <w:snapToGrid w:val="0"/>
          <w:color w:val="auto"/>
          <w:sz w:val="21"/>
          <w:szCs w:val="21"/>
        </w:rPr>
      </w:pPr>
      <w:r>
        <w:rPr>
          <w:rFonts w:ascii="宋体" w:eastAsia="宋体" w:hAnsi="宋体" w:cs="宋体" w:hint="eastAsia"/>
          <w:snapToGrid w:val="0"/>
          <w:color w:val="auto"/>
          <w:sz w:val="21"/>
          <w:szCs w:val="21"/>
        </w:rPr>
        <w:t>地址：深圳市坪山区龙田街道金牛商业大厦5-2</w:t>
      </w:r>
    </w:p>
    <w:p>
      <w:pPr>
        <w:pStyle w:val="p9"/>
        <w:keepNext w:val="0"/>
        <w:keepLines w:val="0"/>
        <w:pageBreakBefore w:val="0"/>
        <w:kinsoku/>
        <w:wordWrap/>
        <w:overflowPunct/>
        <w:topLinePunct w:val="0"/>
        <w:autoSpaceDE/>
        <w:autoSpaceDN/>
        <w:bidi w:val="0"/>
        <w:adjustRightInd w:val="0"/>
        <w:snapToGrid w:val="0"/>
        <w:spacing w:before="0" w:beforeAutospacing="0" w:after="0" w:afterAutospacing="0" w:line="360" w:lineRule="exact"/>
        <w:ind w:left="359" w:firstLine="65" w:leftChars="171" w:firstLineChars="31"/>
        <w:textAlignment w:val="auto"/>
        <w:rPr>
          <w:rFonts w:ascii="宋体" w:eastAsia="宋体" w:hAnsi="宋体" w:cs="宋体" w:hint="eastAsia"/>
          <w:snapToGrid w:val="0"/>
          <w:color w:val="auto"/>
          <w:sz w:val="21"/>
          <w:szCs w:val="21"/>
        </w:rPr>
      </w:pPr>
      <w:r>
        <w:rPr>
          <w:rFonts w:ascii="宋体" w:eastAsia="宋体" w:hAnsi="宋体" w:cs="宋体" w:hint="eastAsia"/>
          <w:snapToGrid w:val="0"/>
          <w:color w:val="auto"/>
          <w:sz w:val="21"/>
          <w:szCs w:val="21"/>
        </w:rPr>
        <w:t>联系方式：</w:t>
      </w:r>
      <w:r>
        <w:rPr>
          <w:rFonts w:ascii="宋体" w:eastAsia="宋体" w:hAnsi="宋体" w:cs="宋体" w:hint="eastAsia"/>
          <w:snapToGrid w:val="0"/>
          <w:color w:val="auto"/>
          <w:sz w:val="21"/>
          <w:szCs w:val="21"/>
          <w:lang w:val="en-US" w:eastAsia="zh-CN"/>
        </w:rPr>
        <w:t>叶工，0755-89369331</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2</w:t>
      </w:r>
      <w:r>
        <w:rPr>
          <w:rFonts w:ascii="宋体" w:eastAsia="宋体" w:hAnsi="宋体" w:cs="宋体" w:hint="eastAsia"/>
          <w:sz w:val="21"/>
          <w:szCs w:val="21"/>
          <w:lang w:val="en-US" w:eastAsia="zh-CN"/>
        </w:rPr>
        <w:t>.</w:t>
      </w:r>
      <w:r>
        <w:rPr>
          <w:rFonts w:ascii="宋体" w:eastAsia="宋体" w:hAnsi="宋体" w:cs="宋体" w:hint="eastAsia"/>
          <w:sz w:val="21"/>
          <w:szCs w:val="21"/>
        </w:rPr>
        <w:t xml:space="preserve">采购代理机构信息 </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 xml:space="preserve">名称：深圳市中正招标有限公司 </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地址：深圳市福田区民田路171号新华保险大厦903</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联系方式：0755-83026699</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3</w:t>
      </w:r>
      <w:r>
        <w:rPr>
          <w:rFonts w:ascii="宋体" w:eastAsia="宋体" w:hAnsi="宋体" w:cs="宋体" w:hint="eastAsia"/>
          <w:sz w:val="21"/>
          <w:szCs w:val="21"/>
          <w:lang w:val="en-US" w:eastAsia="zh-CN"/>
        </w:rPr>
        <w:t>.</w:t>
      </w:r>
      <w:r>
        <w:rPr>
          <w:rFonts w:ascii="宋体" w:eastAsia="宋体" w:hAnsi="宋体" w:cs="宋体" w:hint="eastAsia"/>
          <w:sz w:val="21"/>
          <w:szCs w:val="21"/>
        </w:rPr>
        <w:t xml:space="preserve">项目联系方式 </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项目联系人：</w:t>
      </w:r>
      <w:r>
        <w:rPr>
          <w:rFonts w:cs="宋体" w:hint="eastAsia"/>
          <w:sz w:val="21"/>
          <w:szCs w:val="21"/>
          <w:lang w:val="en-US" w:eastAsia="zh-CN"/>
        </w:rPr>
        <w:t>党工</w:t>
      </w:r>
      <w:r>
        <w:rPr>
          <w:rFonts w:ascii="宋体" w:eastAsia="宋体" w:hAnsi="宋体" w:cs="宋体" w:hint="eastAsia"/>
          <w:sz w:val="21"/>
          <w:szCs w:val="21"/>
        </w:rPr>
        <w:t xml:space="preserve"> </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r>
        <w:rPr>
          <w:rFonts w:ascii="宋体" w:eastAsia="宋体" w:hAnsi="宋体" w:cs="宋体" w:hint="eastAsia"/>
          <w:sz w:val="21"/>
          <w:szCs w:val="21"/>
        </w:rPr>
        <w:t>电话：0755-83026699</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textAlignment w:val="auto"/>
        <w:rPr>
          <w:rFonts w:ascii="宋体" w:eastAsia="宋体" w:hAnsi="宋体" w:cs="宋体" w:hint="eastAsia"/>
          <w:sz w:val="21"/>
          <w:szCs w:val="21"/>
        </w:rPr>
      </w:pP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jc w:val="right"/>
        <w:textAlignment w:val="auto"/>
        <w:rPr>
          <w:rFonts w:ascii="宋体" w:eastAsia="宋体" w:hAnsi="宋体" w:cs="宋体" w:hint="eastAsia"/>
          <w:sz w:val="21"/>
          <w:szCs w:val="21"/>
        </w:rPr>
      </w:pPr>
      <w:r>
        <w:rPr>
          <w:rFonts w:ascii="宋体" w:eastAsia="宋体" w:hAnsi="宋体" w:cs="宋体" w:hint="eastAsia"/>
          <w:sz w:val="21"/>
          <w:szCs w:val="21"/>
        </w:rPr>
        <w:t>深圳市中正招标有限公司</w:t>
      </w:r>
    </w:p>
    <w:p>
      <w:pPr>
        <w:pStyle w:val="NormalWeb"/>
        <w:keepNext w:val="0"/>
        <w:keepLines w:val="0"/>
        <w:pageBreakBefore w:val="0"/>
        <w:widowControl/>
        <w:kinsoku/>
        <w:wordWrap/>
        <w:overflowPunct/>
        <w:topLinePunct w:val="0"/>
        <w:autoSpaceDE/>
        <w:autoSpaceDN/>
        <w:bidi w:val="0"/>
        <w:spacing w:before="0" w:beforeAutospacing="0" w:after="0" w:afterAutospacing="0" w:line="360" w:lineRule="exact"/>
        <w:ind w:firstLine="424" w:firstLineChars="202"/>
        <w:jc w:val="right"/>
        <w:textAlignment w:val="auto"/>
        <w:rPr>
          <w:rFonts w:ascii="宋体" w:eastAsia="宋体" w:hAnsi="宋体" w:cs="宋体" w:hint="eastAsia"/>
          <w:sz w:val="21"/>
          <w:szCs w:val="21"/>
        </w:rPr>
      </w:pPr>
      <w:r>
        <w:rPr>
          <w:rFonts w:cs="宋体" w:hint="eastAsia"/>
          <w:sz w:val="21"/>
          <w:szCs w:val="21"/>
          <w:lang w:val="en-US" w:eastAsia="zh-CN"/>
        </w:rPr>
        <w:t>2025</w:t>
      </w:r>
      <w:r>
        <w:rPr>
          <w:rFonts w:ascii="宋体" w:eastAsia="宋体" w:hAnsi="宋体" w:cs="宋体" w:hint="eastAsia"/>
          <w:sz w:val="21"/>
          <w:szCs w:val="21"/>
        </w:rPr>
        <w:t>年</w:t>
      </w:r>
      <w:r>
        <w:rPr>
          <w:rFonts w:cs="宋体" w:hint="eastAsia"/>
          <w:sz w:val="21"/>
          <w:szCs w:val="21"/>
          <w:lang w:val="en-US" w:eastAsia="zh-CN"/>
        </w:rPr>
        <w:t>1</w:t>
      </w:r>
      <w:r>
        <w:rPr>
          <w:rFonts w:ascii="宋体" w:eastAsia="宋体" w:hAnsi="宋体" w:cs="宋体" w:hint="eastAsia"/>
          <w:sz w:val="21"/>
          <w:szCs w:val="21"/>
        </w:rPr>
        <w:t>月</w:t>
      </w:r>
      <w:r>
        <w:rPr>
          <w:rFonts w:cs="宋体" w:hint="eastAsia"/>
          <w:sz w:val="21"/>
          <w:szCs w:val="21"/>
          <w:lang w:val="en-US" w:eastAsia="zh-CN"/>
        </w:rPr>
        <w:t>3</w:t>
      </w:r>
      <w:r>
        <w:rPr>
          <w:rFonts w:ascii="宋体" w:eastAsia="宋体" w:hAnsi="宋体" w:cs="宋体" w:hint="eastAsia"/>
          <w:sz w:val="21"/>
          <w:szCs w:val="21"/>
        </w:rPr>
        <w:t>日</w:t>
      </w:r>
    </w:p>
    <w:p>
      <w:pPr>
        <w:spacing w:line="400" w:lineRule="exact"/>
        <w:jc w:val="right"/>
        <w:rPr>
          <w:rFonts w:ascii="宋体" w:hAnsi="宋体"/>
          <w:szCs w:val="21"/>
        </w:rPr>
      </w:pPr>
    </w:p>
    <w:p>
      <w:pPr>
        <w:spacing w:line="400" w:lineRule="exact"/>
        <w:jc w:val="right"/>
        <w:rPr>
          <w:rFonts w:ascii="宋体" w:hAnsi="宋体"/>
          <w:szCs w:val="21"/>
        </w:rPr>
      </w:pPr>
    </w:p>
    <w:p>
      <w:pPr>
        <w:rPr>
          <w:rFonts w:ascii="宋体" w:hAnsi="宋体"/>
          <w:szCs w:val="21"/>
        </w:rPr>
      </w:pPr>
      <w:r>
        <w:rPr>
          <w:rFonts w:ascii="宋体" w:hAnsi="宋体"/>
          <w:szCs w:val="21"/>
        </w:rPr>
        <w:br w:type="page"/>
      </w:r>
    </w:p>
    <w:p>
      <w:pPr>
        <w:pStyle w:val="Heading2"/>
      </w:pPr>
    </w:p>
    <w:p>
      <w:pPr>
        <w:keepNext/>
        <w:keepLines/>
        <w:adjustRightInd w:val="0"/>
        <w:spacing w:before="260" w:after="260"/>
        <w:jc w:val="center"/>
        <w:textAlignment w:val="baseline"/>
        <w:outlineLvl w:val="1"/>
        <w:rPr>
          <w:rFonts w:ascii="宋体" w:hAnsi="宋体"/>
          <w:b/>
          <w:bCs/>
          <w:kern w:val="0"/>
          <w:sz w:val="24"/>
          <w:szCs w:val="20"/>
        </w:rPr>
      </w:pPr>
      <w:r>
        <w:rPr>
          <w:rFonts w:ascii="宋体" w:hAnsi="宋体" w:hint="eastAsia"/>
          <w:b/>
          <w:bCs/>
          <w:kern w:val="0"/>
          <w:sz w:val="24"/>
          <w:szCs w:val="20"/>
        </w:rPr>
        <w:t>第二章  招标项目需求</w:t>
      </w:r>
    </w:p>
    <w:p>
      <w:pPr>
        <w:keepNext/>
        <w:keepLines/>
        <w:adjustRightInd w:val="0"/>
        <w:spacing w:before="156" w:beforeLines="50" w:after="156" w:afterLines="50"/>
        <w:jc w:val="center"/>
        <w:textAlignment w:val="baseline"/>
        <w:outlineLvl w:val="1"/>
        <w:rPr>
          <w:rFonts w:ascii="宋体" w:hAnsi="宋体"/>
          <w:b/>
          <w:bCs/>
          <w:kern w:val="0"/>
          <w:sz w:val="28"/>
          <w:szCs w:val="28"/>
        </w:rPr>
      </w:pPr>
      <w:bookmarkStart w:id="0" w:name="_Toc73518117"/>
      <w:bookmarkStart w:id="1" w:name="_Toc73517639"/>
      <w:bookmarkStart w:id="2" w:name="_Toc101074876"/>
      <w:bookmarkStart w:id="3" w:name="_Toc73521635"/>
      <w:bookmarkStart w:id="4" w:name="_Toc60631620"/>
      <w:bookmarkStart w:id="5" w:name="_Toc60560625"/>
      <w:bookmarkStart w:id="6" w:name="_Toc73521547"/>
      <w:bookmarkStart w:id="7" w:name="_Toc100052364"/>
      <w:r>
        <w:rPr>
          <w:rFonts w:ascii="宋体" w:hAnsi="宋体" w:hint="eastAsia"/>
          <w:b/>
          <w:bCs/>
          <w:kern w:val="0"/>
          <w:sz w:val="28"/>
          <w:szCs w:val="28"/>
        </w:rPr>
        <w:t>一、对通用条款的补充内容</w:t>
      </w:r>
    </w:p>
    <w:tbl>
      <w:tblPr>
        <w:tblStyle w:val="TableNormal"/>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top w:w="0" w:type="dxa"/>
          <w:left w:w="108" w:type="dxa"/>
          <w:bottom w:w="0" w:type="dxa"/>
          <w:right w:w="108" w:type="dxa"/>
        </w:tblCellMar>
      </w:tblPr>
      <w:tblGrid>
        <w:gridCol w:w="807"/>
        <w:gridCol w:w="2160"/>
        <w:gridCol w:w="5400"/>
      </w:tblGrid>
      <w:tr>
        <w:tblPrEx>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top w:w="0" w:type="dxa"/>
            <w:left w:w="108" w:type="dxa"/>
            <w:bottom w:w="0" w:type="dxa"/>
            <w:right w:w="108" w:type="dxa"/>
          </w:tblCellMar>
        </w:tblPrEx>
        <w:trPr>
          <w:cantSplit/>
          <w:trHeight w:val="20"/>
          <w:jc w:val="center"/>
        </w:trPr>
        <w:tc>
          <w:tcPr>
            <w:tcW w:w="807" w:type="dxa"/>
            <w:vAlign w:val="center"/>
          </w:tcPr>
          <w:p>
            <w:pPr>
              <w:jc w:val="center"/>
              <w:rPr>
                <w:rFonts w:ascii="宋体" w:hAnsi="宋体"/>
                <w:b/>
                <w:bCs/>
                <w:szCs w:val="24"/>
              </w:rPr>
            </w:pPr>
            <w:bookmarkEnd w:id="0"/>
            <w:bookmarkEnd w:id="1"/>
            <w:bookmarkEnd w:id="2"/>
            <w:bookmarkEnd w:id="3"/>
            <w:bookmarkEnd w:id="4"/>
            <w:bookmarkEnd w:id="5"/>
            <w:bookmarkEnd w:id="6"/>
            <w:bookmarkEnd w:id="7"/>
            <w:r>
              <w:rPr>
                <w:rFonts w:ascii="宋体" w:hAnsi="宋体" w:hint="eastAsia"/>
                <w:b/>
                <w:bCs/>
                <w:szCs w:val="24"/>
              </w:rPr>
              <w:t>序号</w:t>
            </w:r>
          </w:p>
        </w:tc>
        <w:tc>
          <w:tcPr>
            <w:tcW w:w="2160" w:type="dxa"/>
            <w:vAlign w:val="center"/>
          </w:tcPr>
          <w:p>
            <w:pPr>
              <w:jc w:val="center"/>
              <w:rPr>
                <w:rFonts w:ascii="宋体" w:hAnsi="宋体"/>
                <w:b/>
                <w:bCs/>
                <w:szCs w:val="24"/>
              </w:rPr>
            </w:pPr>
            <w:r>
              <w:rPr>
                <w:rFonts w:ascii="宋体" w:hAnsi="宋体" w:hint="eastAsia"/>
                <w:b/>
                <w:bCs/>
                <w:szCs w:val="24"/>
              </w:rPr>
              <w:t>内   容</w:t>
            </w:r>
          </w:p>
        </w:tc>
        <w:tc>
          <w:tcPr>
            <w:tcW w:w="5400" w:type="dxa"/>
            <w:vAlign w:val="center"/>
          </w:tcPr>
          <w:p>
            <w:pPr>
              <w:jc w:val="center"/>
              <w:rPr>
                <w:rFonts w:ascii="宋体" w:hAnsi="宋体"/>
                <w:b/>
                <w:bCs/>
                <w:szCs w:val="24"/>
              </w:rPr>
            </w:pPr>
            <w:r>
              <w:rPr>
                <w:rFonts w:ascii="宋体" w:hAnsi="宋体" w:hint="eastAsia"/>
                <w:b/>
                <w:bCs/>
                <w:szCs w:val="24"/>
              </w:rPr>
              <w:t>规      定</w:t>
            </w:r>
          </w:p>
        </w:tc>
      </w:tr>
      <w:tr>
        <w:tblPrEx>
          <w:tblW w:w="0" w:type="auto"/>
          <w:jc w:val="center"/>
          <w:tblLayout w:type="fixed"/>
          <w:tblCellMar>
            <w:top w:w="0" w:type="dxa"/>
            <w:left w:w="108" w:type="dxa"/>
            <w:bottom w:w="0" w:type="dxa"/>
            <w:right w:w="108" w:type="dxa"/>
          </w:tblCellMar>
        </w:tblPrEx>
        <w:trPr>
          <w:cantSplit/>
          <w:trHeight w:val="365"/>
          <w:jc w:val="center"/>
        </w:trPr>
        <w:tc>
          <w:tcPr>
            <w:tcW w:w="807" w:type="dxa"/>
            <w:vAlign w:val="center"/>
          </w:tcPr>
          <w:p>
            <w:pPr>
              <w:jc w:val="center"/>
              <w:rPr>
                <w:rFonts w:ascii="宋体" w:hAnsi="宋体"/>
                <w:szCs w:val="24"/>
              </w:rPr>
            </w:pPr>
            <w:r>
              <w:rPr>
                <w:rFonts w:ascii="宋体" w:hAnsi="宋体" w:hint="eastAsia"/>
                <w:szCs w:val="24"/>
              </w:rPr>
              <w:t>1</w:t>
            </w:r>
          </w:p>
        </w:tc>
        <w:tc>
          <w:tcPr>
            <w:tcW w:w="2160" w:type="dxa"/>
            <w:vAlign w:val="center"/>
          </w:tcPr>
          <w:p>
            <w:pPr>
              <w:jc w:val="center"/>
              <w:rPr>
                <w:rFonts w:ascii="Times New Roman" w:hAnsi="Times New Roman"/>
                <w:szCs w:val="24"/>
              </w:rPr>
            </w:pPr>
            <w:r>
              <w:rPr>
                <w:rFonts w:ascii="Times New Roman" w:hAnsi="Times New Roman" w:hint="eastAsia"/>
                <w:szCs w:val="24"/>
              </w:rPr>
              <w:t>联合体投标</w:t>
            </w:r>
          </w:p>
        </w:tc>
        <w:tc>
          <w:tcPr>
            <w:tcW w:w="5400" w:type="dxa"/>
            <w:vAlign w:val="center"/>
          </w:tcPr>
          <w:p>
            <w:pPr>
              <w:rPr>
                <w:rFonts w:ascii="宋体" w:hAnsi="宋体"/>
                <w:snapToGrid w:val="0"/>
                <w:kern w:val="0"/>
                <w:szCs w:val="32"/>
                <w:lang w:val="zh-CN"/>
              </w:rPr>
            </w:pPr>
            <w:r>
              <w:rPr>
                <w:rFonts w:ascii="宋体" w:hAnsi="宋体" w:hint="eastAsia"/>
                <w:snapToGrid w:val="0"/>
                <w:kern w:val="0"/>
                <w:szCs w:val="32"/>
                <w:lang w:val="zh-CN"/>
              </w:rPr>
              <w:t>见《招标公告》中“项目基本情况”部分的相关内容</w:t>
            </w:r>
          </w:p>
        </w:tc>
      </w:tr>
      <w:tr>
        <w:tblPrEx>
          <w:tblW w:w="0" w:type="auto"/>
          <w:jc w:val="center"/>
          <w:tblLayout w:type="fixed"/>
          <w:tblCellMar>
            <w:top w:w="0" w:type="dxa"/>
            <w:left w:w="108" w:type="dxa"/>
            <w:bottom w:w="0" w:type="dxa"/>
            <w:right w:w="108" w:type="dxa"/>
          </w:tblCellMar>
        </w:tblPrEx>
        <w:trPr>
          <w:cantSplit/>
          <w:trHeight w:val="365"/>
          <w:jc w:val="center"/>
        </w:trPr>
        <w:tc>
          <w:tcPr>
            <w:tcW w:w="807" w:type="dxa"/>
            <w:vAlign w:val="center"/>
          </w:tcPr>
          <w:p>
            <w:pPr>
              <w:jc w:val="center"/>
              <w:rPr>
                <w:rFonts w:ascii="宋体" w:hAnsi="宋体"/>
                <w:szCs w:val="24"/>
              </w:rPr>
            </w:pPr>
            <w:r>
              <w:rPr>
                <w:rFonts w:ascii="宋体" w:hAnsi="宋体" w:hint="eastAsia"/>
                <w:szCs w:val="24"/>
              </w:rPr>
              <w:t>2</w:t>
            </w:r>
          </w:p>
        </w:tc>
        <w:tc>
          <w:tcPr>
            <w:tcW w:w="2160" w:type="dxa"/>
            <w:vAlign w:val="center"/>
          </w:tcPr>
          <w:p>
            <w:pPr>
              <w:jc w:val="center"/>
              <w:rPr>
                <w:rFonts w:ascii="宋体" w:hAnsi="宋体"/>
                <w:szCs w:val="24"/>
              </w:rPr>
            </w:pPr>
            <w:r>
              <w:rPr>
                <w:rFonts w:ascii="宋体" w:hAnsi="宋体" w:hint="eastAsia"/>
                <w:szCs w:val="24"/>
              </w:rPr>
              <w:t>投标有效期</w:t>
            </w:r>
          </w:p>
        </w:tc>
        <w:tc>
          <w:tcPr>
            <w:tcW w:w="5400" w:type="dxa"/>
            <w:vAlign w:val="center"/>
          </w:tcPr>
          <w:p>
            <w:pPr>
              <w:rPr>
                <w:rFonts w:ascii="宋体" w:hAnsi="宋体"/>
                <w:szCs w:val="24"/>
              </w:rPr>
            </w:pPr>
            <w:r>
              <w:rPr>
                <w:rFonts w:ascii="宋体" w:hAnsi="宋体" w:hint="eastAsia"/>
                <w:szCs w:val="24"/>
                <w:u w:val="single"/>
              </w:rPr>
              <w:t>90</w:t>
            </w:r>
            <w:r>
              <w:rPr>
                <w:rFonts w:ascii="宋体" w:hAnsi="宋体"/>
                <w:szCs w:val="24"/>
                <w:u w:val="single"/>
              </w:rPr>
              <w:t>日历天</w:t>
            </w:r>
            <w:r>
              <w:rPr>
                <w:rFonts w:ascii="宋体" w:hAnsi="宋体"/>
                <w:szCs w:val="24"/>
              </w:rPr>
              <w:t>（从投标截止之日算起）</w:t>
            </w:r>
          </w:p>
        </w:tc>
      </w:tr>
      <w:tr>
        <w:tblPrEx>
          <w:tblW w:w="0" w:type="auto"/>
          <w:jc w:val="center"/>
          <w:tblLayout w:type="fixed"/>
          <w:tblCellMar>
            <w:top w:w="0" w:type="dxa"/>
            <w:left w:w="108" w:type="dxa"/>
            <w:bottom w:w="0" w:type="dxa"/>
            <w:right w:w="108" w:type="dxa"/>
          </w:tblCellMar>
        </w:tblPrEx>
        <w:trPr>
          <w:cantSplit/>
          <w:trHeight w:val="365"/>
          <w:jc w:val="center"/>
        </w:trPr>
        <w:tc>
          <w:tcPr>
            <w:tcW w:w="807" w:type="dxa"/>
            <w:vAlign w:val="center"/>
          </w:tcPr>
          <w:p>
            <w:pPr>
              <w:jc w:val="center"/>
              <w:rPr>
                <w:rFonts w:ascii="宋体" w:hAnsi="宋体"/>
                <w:szCs w:val="24"/>
              </w:rPr>
            </w:pPr>
            <w:r>
              <w:rPr>
                <w:rFonts w:ascii="宋体" w:hAnsi="宋体" w:hint="eastAsia"/>
                <w:szCs w:val="24"/>
              </w:rPr>
              <w:t>3</w:t>
            </w:r>
          </w:p>
        </w:tc>
        <w:tc>
          <w:tcPr>
            <w:tcW w:w="2160" w:type="dxa"/>
            <w:vAlign w:val="center"/>
          </w:tcPr>
          <w:p>
            <w:pPr>
              <w:jc w:val="center"/>
              <w:rPr>
                <w:rFonts w:ascii="宋体" w:hAnsi="宋体"/>
                <w:szCs w:val="24"/>
              </w:rPr>
            </w:pPr>
            <w:r>
              <w:rPr>
                <w:rFonts w:ascii="宋体" w:hAnsi="宋体" w:hint="eastAsia"/>
                <w:szCs w:val="24"/>
              </w:rPr>
              <w:t>投标人的替代方案</w:t>
            </w:r>
          </w:p>
        </w:tc>
        <w:tc>
          <w:tcPr>
            <w:tcW w:w="5400" w:type="dxa"/>
            <w:vAlign w:val="center"/>
          </w:tcPr>
          <w:p>
            <w:pPr>
              <w:rPr>
                <w:rFonts w:ascii="宋体" w:hAnsi="宋体"/>
                <w:szCs w:val="24"/>
              </w:rPr>
            </w:pPr>
            <w:r>
              <w:rPr>
                <w:rFonts w:ascii="宋体" w:hAnsi="宋体" w:hint="eastAsia"/>
                <w:szCs w:val="24"/>
              </w:rPr>
              <w:t>不允许</w:t>
            </w:r>
          </w:p>
        </w:tc>
      </w:tr>
      <w:tr>
        <w:tblPrEx>
          <w:tblW w:w="0" w:type="auto"/>
          <w:jc w:val="center"/>
          <w:tblLayout w:type="fixed"/>
          <w:tblCellMar>
            <w:top w:w="0" w:type="dxa"/>
            <w:left w:w="108" w:type="dxa"/>
            <w:bottom w:w="0" w:type="dxa"/>
            <w:right w:w="108" w:type="dxa"/>
          </w:tblCellMar>
        </w:tblPrEx>
        <w:trPr>
          <w:cantSplit/>
          <w:trHeight w:val="20"/>
          <w:jc w:val="center"/>
        </w:trPr>
        <w:tc>
          <w:tcPr>
            <w:tcW w:w="807" w:type="dxa"/>
            <w:vAlign w:val="center"/>
          </w:tcPr>
          <w:p>
            <w:pPr>
              <w:jc w:val="center"/>
              <w:rPr>
                <w:rFonts w:ascii="宋体" w:hAnsi="宋体"/>
                <w:szCs w:val="24"/>
              </w:rPr>
            </w:pPr>
            <w:r>
              <w:rPr>
                <w:rFonts w:ascii="宋体" w:hAnsi="宋体" w:hint="eastAsia"/>
                <w:szCs w:val="24"/>
              </w:rPr>
              <w:t>4</w:t>
            </w:r>
          </w:p>
        </w:tc>
        <w:tc>
          <w:tcPr>
            <w:tcW w:w="2160" w:type="dxa"/>
            <w:vAlign w:val="center"/>
          </w:tcPr>
          <w:p>
            <w:pPr>
              <w:jc w:val="center"/>
              <w:rPr>
                <w:rFonts w:ascii="宋体" w:hAnsi="宋体"/>
                <w:szCs w:val="24"/>
              </w:rPr>
            </w:pPr>
            <w:r>
              <w:rPr>
                <w:rFonts w:ascii="宋体" w:hAnsi="宋体" w:hint="eastAsia"/>
                <w:szCs w:val="24"/>
              </w:rPr>
              <w:t>投标文件的投递</w:t>
            </w:r>
          </w:p>
        </w:tc>
        <w:tc>
          <w:tcPr>
            <w:tcW w:w="5400" w:type="dxa"/>
            <w:vAlign w:val="center"/>
          </w:tcPr>
          <w:p>
            <w:pPr>
              <w:spacing w:line="360" w:lineRule="exact"/>
              <w:rPr>
                <w:rFonts w:ascii="宋体" w:hAnsi="宋体"/>
              </w:rPr>
            </w:pPr>
            <w:r>
              <w:rPr>
                <w:rFonts w:ascii="宋体" w:hAnsi="宋体" w:hint="eastAsia"/>
              </w:rPr>
              <w:t>本项目实行网上投标，投标人必须在招标文件规定的投标截止时间前登录“深圳政府采购智慧平台用户网上办事子系统”，使用“【我的项目】→【项目流程】→【递交投标(应答)文件】</w:t>
            </w:r>
            <w:r>
              <w:rPr>
                <w:rFonts w:ascii="宋体" w:hAnsi="宋体"/>
              </w:rPr>
              <w:t>”功能</w:t>
            </w:r>
            <w:r>
              <w:rPr>
                <w:rFonts w:ascii="宋体" w:hAnsi="宋体" w:hint="eastAsia"/>
              </w:rPr>
              <w:t>点，</w:t>
            </w:r>
            <w:r>
              <w:rPr>
                <w:rFonts w:ascii="宋体" w:hAnsi="宋体"/>
              </w:rPr>
              <w:t>将编制好的电子投标文件上传，投标文件大小不得超过</w:t>
            </w:r>
            <w:r>
              <w:rPr>
                <w:rFonts w:ascii="宋体" w:hAnsi="宋体" w:hint="eastAsia"/>
              </w:rPr>
              <w:t>20</w:t>
            </w:r>
            <w:r>
              <w:rPr>
                <w:rFonts w:ascii="宋体" w:hAnsi="宋体"/>
              </w:rPr>
              <w:t>0MB</w:t>
            </w:r>
            <w:r>
              <w:rPr>
                <w:rFonts w:ascii="宋体" w:hAnsi="宋体" w:cs="宋体" w:hint="eastAsia"/>
                <w:szCs w:val="21"/>
              </w:rPr>
              <w:t>，单个节点文件不能超过</w:t>
            </w:r>
            <w:r>
              <w:rPr>
                <w:rFonts w:ascii="宋体" w:hAnsi="宋体" w:cs="宋体"/>
                <w:szCs w:val="21"/>
              </w:rPr>
              <w:t>50M</w:t>
            </w:r>
            <w:r>
              <w:rPr>
                <w:rFonts w:ascii="宋体" w:hAnsi="宋体" w:cs="宋体" w:hint="eastAsia"/>
                <w:szCs w:val="21"/>
              </w:rPr>
              <w:t>B</w:t>
            </w:r>
            <w:r>
              <w:rPr>
                <w:rFonts w:ascii="宋体" w:hAnsi="宋体" w:hint="eastAsia"/>
              </w:rPr>
              <w:t>。</w:t>
            </w:r>
          </w:p>
        </w:tc>
      </w:tr>
      <w:tr>
        <w:tblPrEx>
          <w:tblW w:w="0" w:type="auto"/>
          <w:jc w:val="center"/>
          <w:tblLayout w:type="fixed"/>
          <w:tblCellMar>
            <w:top w:w="0" w:type="dxa"/>
            <w:left w:w="108" w:type="dxa"/>
            <w:bottom w:w="0" w:type="dxa"/>
            <w:right w:w="108" w:type="dxa"/>
          </w:tblCellMar>
        </w:tblPrEx>
        <w:trPr>
          <w:cantSplit/>
          <w:trHeight w:val="20"/>
          <w:jc w:val="center"/>
        </w:trPr>
        <w:tc>
          <w:tcPr>
            <w:tcW w:w="807" w:type="dxa"/>
            <w:vAlign w:val="center"/>
          </w:tcPr>
          <w:p>
            <w:pPr>
              <w:jc w:val="center"/>
              <w:rPr>
                <w:rFonts w:ascii="宋体" w:hAnsi="宋体"/>
                <w:szCs w:val="24"/>
              </w:rPr>
            </w:pPr>
            <w:r>
              <w:rPr>
                <w:rFonts w:ascii="宋体" w:hAnsi="宋体" w:hint="eastAsia"/>
                <w:szCs w:val="24"/>
              </w:rPr>
              <w:t>5</w:t>
            </w:r>
          </w:p>
        </w:tc>
        <w:tc>
          <w:tcPr>
            <w:tcW w:w="2160" w:type="dxa"/>
            <w:vAlign w:val="center"/>
          </w:tcPr>
          <w:p>
            <w:pPr>
              <w:jc w:val="center"/>
              <w:rPr>
                <w:rFonts w:ascii="宋体" w:hAnsi="宋体"/>
                <w:szCs w:val="24"/>
              </w:rPr>
            </w:pPr>
            <w:r>
              <w:rPr>
                <w:rFonts w:ascii="宋体" w:hAnsi="宋体" w:hint="eastAsia"/>
                <w:szCs w:val="24"/>
              </w:rPr>
              <w:t>中标服务费</w:t>
            </w:r>
          </w:p>
        </w:tc>
        <w:tc>
          <w:tcPr>
            <w:tcW w:w="5400" w:type="dxa"/>
            <w:vAlign w:val="center"/>
          </w:tcPr>
          <w:p>
            <w:pPr>
              <w:spacing w:line="360" w:lineRule="exact"/>
              <w:rPr>
                <w:rFonts w:asciiTheme="minorEastAsia" w:eastAsiaTheme="minorEastAsia" w:hAnsiTheme="minorEastAsia"/>
                <w:szCs w:val="21"/>
              </w:rPr>
            </w:pPr>
            <w:r>
              <w:rPr>
                <w:rFonts w:asciiTheme="minorEastAsia" w:eastAsiaTheme="minorEastAsia" w:hAnsiTheme="minorEastAsia" w:hint="eastAsia"/>
                <w:szCs w:val="21"/>
              </w:rPr>
              <w:t>按深财购[2018]27号文件规定的代理费用参考标准，向中标供应商收取中标服务费，具体如下：</w:t>
            </w:r>
          </w:p>
          <w:p>
            <w:pPr>
              <w:spacing w:line="360" w:lineRule="exact"/>
              <w:rPr>
                <w:rFonts w:asciiTheme="minorEastAsia" w:eastAsiaTheme="minorEastAsia" w:hAnsiTheme="minorEastAsia"/>
                <w:szCs w:val="20"/>
              </w:rPr>
            </w:pPr>
            <w:r>
              <w:rPr>
                <w:rFonts w:ascii="宋体" w:eastAsia="MS Mincho" w:hAnsi="宋体" w:cs="MS Mincho" w:hint="eastAsia"/>
                <w:sz w:val="24"/>
                <w:szCs w:val="24"/>
              </w:rPr>
              <w:t>☑</w:t>
            </w:r>
            <w:r>
              <w:rPr>
                <w:rFonts w:asciiTheme="minorEastAsia" w:eastAsiaTheme="minorEastAsia" w:hAnsiTheme="minorEastAsia" w:hint="eastAsia"/>
                <w:szCs w:val="21"/>
              </w:rPr>
              <w:t>以中标金额作为计算依据</w:t>
            </w:r>
            <w:r>
              <w:rPr>
                <w:rFonts w:asciiTheme="minorEastAsia" w:eastAsiaTheme="minorEastAsia" w:hAnsiTheme="minorEastAsia" w:hint="eastAsia"/>
                <w:szCs w:val="20"/>
              </w:rPr>
              <w:t>，费用下浮</w:t>
            </w:r>
            <w:r>
              <w:rPr>
                <w:rFonts w:asciiTheme="minorEastAsia" w:eastAsiaTheme="minorEastAsia" w:hAnsiTheme="minorEastAsia" w:hint="eastAsia"/>
                <w:szCs w:val="20"/>
                <w:u w:val="single"/>
              </w:rPr>
              <w:t xml:space="preserve">  0  </w:t>
            </w:r>
            <w:r>
              <w:rPr>
                <w:rFonts w:asciiTheme="minorEastAsia" w:eastAsiaTheme="minorEastAsia" w:hAnsiTheme="minorEastAsia" w:hint="eastAsia"/>
                <w:szCs w:val="20"/>
              </w:rPr>
              <w:t>%，最低收取人民币7000元。</w:t>
            </w:r>
          </w:p>
          <w:p>
            <w:pPr>
              <w:spacing w:line="360" w:lineRule="exact"/>
              <w:rPr>
                <w:rFonts w:ascii="宋体" w:hAnsi="宋体"/>
              </w:rPr>
            </w:pPr>
            <w:r>
              <w:rPr>
                <w:rFonts w:ascii="Times New Roman" w:hAnsi="宋体" w:hint="eastAsia"/>
                <w:szCs w:val="24"/>
              </w:rPr>
              <w:t>□</w:t>
            </w:r>
            <w:r>
              <w:rPr>
                <w:rFonts w:asciiTheme="minorEastAsia" w:eastAsiaTheme="minorEastAsia" w:hAnsiTheme="minorEastAsia" w:hint="eastAsia"/>
                <w:szCs w:val="21"/>
              </w:rPr>
              <w:t>以预算金额（支付上限）作为计算依据</w:t>
            </w:r>
            <w:r>
              <w:rPr>
                <w:rFonts w:asciiTheme="minorEastAsia" w:eastAsiaTheme="minorEastAsia" w:hAnsiTheme="minorEastAsia" w:hint="eastAsia"/>
                <w:szCs w:val="24"/>
              </w:rPr>
              <w:t>，费用下浮</w:t>
            </w:r>
            <w:r>
              <w:rPr>
                <w:rFonts w:asciiTheme="minorEastAsia" w:eastAsiaTheme="minorEastAsia" w:hAnsiTheme="minorEastAsia" w:hint="eastAsia"/>
                <w:szCs w:val="24"/>
                <w:u w:val="single"/>
              </w:rPr>
              <w:t xml:space="preserve">  0  </w:t>
            </w:r>
            <w:r>
              <w:rPr>
                <w:rFonts w:asciiTheme="minorEastAsia" w:eastAsiaTheme="minorEastAsia" w:hAnsiTheme="minorEastAsia" w:hint="eastAsia"/>
                <w:szCs w:val="24"/>
              </w:rPr>
              <w:t>%，收取中标服务费：人民币</w:t>
            </w:r>
            <w:r>
              <w:rPr>
                <w:rFonts w:asciiTheme="minorEastAsia" w:eastAsiaTheme="minorEastAsia" w:hAnsiTheme="minorEastAsia" w:hint="eastAsia"/>
                <w:szCs w:val="24"/>
                <w:u w:val="single"/>
              </w:rPr>
              <w:t xml:space="preserve">       </w:t>
            </w:r>
            <w:r>
              <w:rPr>
                <w:rFonts w:asciiTheme="minorEastAsia" w:eastAsiaTheme="minorEastAsia" w:hAnsiTheme="minorEastAsia" w:hint="eastAsia"/>
                <w:szCs w:val="24"/>
              </w:rPr>
              <w:t>元。</w:t>
            </w:r>
          </w:p>
        </w:tc>
      </w:tr>
      <w:tr>
        <w:tblPrEx>
          <w:tblW w:w="0" w:type="auto"/>
          <w:jc w:val="center"/>
          <w:tblLayout w:type="fixed"/>
          <w:tblCellMar>
            <w:top w:w="0" w:type="dxa"/>
            <w:left w:w="108" w:type="dxa"/>
            <w:bottom w:w="0" w:type="dxa"/>
            <w:right w:w="108" w:type="dxa"/>
          </w:tblCellMar>
        </w:tblPrEx>
        <w:trPr>
          <w:cantSplit/>
          <w:trHeight w:val="20"/>
          <w:jc w:val="center"/>
        </w:trPr>
        <w:tc>
          <w:tcPr>
            <w:tcW w:w="807" w:type="dxa"/>
            <w:vAlign w:val="center"/>
          </w:tcPr>
          <w:p>
            <w:pPr>
              <w:jc w:val="center"/>
              <w:rPr>
                <w:rFonts w:ascii="宋体" w:hAnsi="宋体"/>
                <w:szCs w:val="24"/>
              </w:rPr>
            </w:pPr>
            <w:r>
              <w:rPr>
                <w:rFonts w:ascii="宋体" w:hAnsi="宋体" w:hint="eastAsia"/>
                <w:szCs w:val="24"/>
              </w:rPr>
              <w:t>6</w:t>
            </w:r>
          </w:p>
        </w:tc>
        <w:tc>
          <w:tcPr>
            <w:tcW w:w="2160" w:type="dxa"/>
            <w:vAlign w:val="center"/>
          </w:tcPr>
          <w:p>
            <w:pPr>
              <w:jc w:val="center"/>
              <w:rPr>
                <w:rFonts w:ascii="宋体" w:hAnsi="宋体"/>
                <w:szCs w:val="24"/>
              </w:rPr>
            </w:pPr>
            <w:r>
              <w:rPr>
                <w:rFonts w:ascii="宋体" w:hAnsi="宋体" w:hint="eastAsia"/>
                <w:szCs w:val="24"/>
              </w:rPr>
              <w:t>履约保证金</w:t>
            </w:r>
          </w:p>
        </w:tc>
        <w:tc>
          <w:tcPr>
            <w:tcW w:w="5400" w:type="dxa"/>
            <w:vAlign w:val="center"/>
          </w:tcPr>
          <w:p>
            <w:pPr>
              <w:spacing w:line="360" w:lineRule="exact"/>
              <w:rPr>
                <w:rFonts w:ascii="宋体" w:hAnsi="宋体"/>
                <w:szCs w:val="24"/>
              </w:rPr>
            </w:pPr>
            <w:r>
              <w:rPr>
                <w:rFonts w:ascii="宋体" w:eastAsia="MS Mincho" w:hAnsi="宋体" w:cs="MS Mincho" w:hint="eastAsia"/>
                <w:sz w:val="24"/>
                <w:szCs w:val="24"/>
              </w:rPr>
              <w:t>☑</w:t>
            </w:r>
            <w:r>
              <w:rPr>
                <w:rFonts w:ascii="宋体" w:hAnsi="宋体" w:hint="eastAsia"/>
                <w:szCs w:val="24"/>
              </w:rPr>
              <w:t>本项目不收取履约保证金。</w:t>
            </w:r>
          </w:p>
          <w:p>
            <w:pPr>
              <w:spacing w:line="360" w:lineRule="exact"/>
              <w:rPr>
                <w:rFonts w:ascii="宋体" w:hAnsi="宋体"/>
                <w:szCs w:val="24"/>
              </w:rPr>
            </w:pPr>
            <w:r>
              <w:rPr>
                <w:rFonts w:ascii="Times New Roman" w:hAnsi="宋体" w:hint="eastAsia"/>
                <w:szCs w:val="24"/>
              </w:rPr>
              <w:t>□</w:t>
            </w:r>
            <w:r>
              <w:rPr>
                <w:rFonts w:ascii="宋体" w:hAnsi="宋体" w:hint="eastAsia"/>
                <w:szCs w:val="24"/>
              </w:rPr>
              <w:t>本项目收取履约保证金数额为合同金额的</w:t>
            </w:r>
            <w:r>
              <w:rPr>
                <w:rFonts w:ascii="宋体" w:hAnsi="宋体" w:hint="eastAsia"/>
                <w:szCs w:val="24"/>
                <w:u w:val="single"/>
              </w:rPr>
              <w:t xml:space="preserve">  </w:t>
            </w:r>
            <w:r>
              <w:rPr>
                <w:rFonts w:ascii="宋体" w:hAnsi="宋体" w:hint="eastAsia"/>
                <w:szCs w:val="24"/>
              </w:rPr>
              <w:t>%（不超过10%）。</w:t>
            </w:r>
          </w:p>
          <w:p>
            <w:pPr>
              <w:spacing w:line="360" w:lineRule="exact"/>
              <w:rPr>
                <w:rFonts w:ascii="宋体" w:hAnsi="宋体"/>
                <w:szCs w:val="24"/>
              </w:rPr>
            </w:pPr>
            <w:r>
              <w:rPr>
                <w:rFonts w:ascii="宋体" w:hAnsi="宋体" w:hint="eastAsia"/>
                <w:szCs w:val="24"/>
              </w:rPr>
              <w:t>根据《深圳市财政局关于进一步优化政府采购营商环境的通知》（深财购〔2021〕31号），政府采购原则上不收取履约保证金；确需收取履约保证金的，应当允许供应商自主选择以支票、汇票、本票、保函等非现金形式缴纳或提交。收取履约保证金的，应当在采购文件中明确履约保证金退还的方式、时间、条件和不予退还的情形，并明确逾期退还履约保证金的违约责任。</w:t>
            </w:r>
          </w:p>
          <w:p>
            <w:pPr>
              <w:spacing w:line="360" w:lineRule="exact"/>
              <w:rPr>
                <w:rFonts w:ascii="宋体" w:hAnsi="宋体"/>
              </w:rPr>
            </w:pPr>
            <w:r>
              <w:rPr>
                <w:rFonts w:ascii="宋体" w:hAnsi="宋体" w:hint="eastAsia"/>
                <w:szCs w:val="24"/>
              </w:rPr>
              <w:t>如中标供应商为</w:t>
            </w:r>
            <w:r>
              <w:rPr>
                <w:rFonts w:ascii="宋体" w:hAnsiTheme="minorHAnsi" w:cs="宋体" w:hint="eastAsia"/>
                <w:kern w:val="0"/>
                <w:szCs w:val="21"/>
              </w:rPr>
              <w:t>中小微企业，则收取的履约保证金的数额不得超过政府采购合同金额的</w:t>
            </w:r>
            <w:r>
              <w:rPr>
                <w:rFonts w:ascii="宋体" w:hAnsiTheme="minorHAnsi" w:cs="宋体"/>
                <w:kern w:val="0"/>
                <w:szCs w:val="21"/>
              </w:rPr>
              <w:t>5%</w:t>
            </w:r>
            <w:r>
              <w:rPr>
                <w:rFonts w:ascii="宋体" w:hAnsiTheme="minorHAnsi" w:cs="宋体" w:hint="eastAsia"/>
                <w:kern w:val="0"/>
                <w:szCs w:val="21"/>
              </w:rPr>
              <w:t>。</w:t>
            </w:r>
          </w:p>
        </w:tc>
      </w:tr>
    </w:tbl>
    <w:p>
      <w:pPr>
        <w:rPr>
          <w:rFonts w:ascii="Times New Roman" w:hAnsi="Times New Roman"/>
          <w:b/>
          <w:szCs w:val="24"/>
        </w:rPr>
      </w:pPr>
      <w:r>
        <w:rPr>
          <w:rFonts w:ascii="Times New Roman" w:hAnsi="Times New Roman" w:hint="eastAsia"/>
          <w:szCs w:val="21"/>
        </w:rPr>
        <w:t xml:space="preserve">    备注：本表为通用条款相关内容的补充和明确，如与通用条款相冲突的以本表为准。</w:t>
      </w:r>
    </w:p>
    <w:p>
      <w:pPr>
        <w:rPr>
          <w:rFonts w:ascii="Times New Roman" w:hAnsi="Times New Roman"/>
          <w:b/>
          <w:szCs w:val="24"/>
        </w:rPr>
      </w:pPr>
    </w:p>
    <w:p>
      <w:pPr>
        <w:pStyle w:val="Heading2"/>
        <w:spacing w:before="156" w:beforeLines="50" w:after="156" w:afterLines="50"/>
        <w:rPr>
          <w:b/>
          <w:bCs/>
        </w:rPr>
      </w:pPr>
      <w:bookmarkStart w:id="8" w:name="_Toc128884461"/>
      <w:r>
        <w:rPr>
          <w:rFonts w:hint="eastAsia"/>
          <w:b/>
          <w:bCs/>
          <w:sz w:val="28"/>
          <w:szCs w:val="28"/>
        </w:rPr>
        <w:t>二、实质性条款</w:t>
      </w:r>
    </w:p>
    <w:tbl>
      <w:tblPr>
        <w:tblStyle w:val="TableNormal"/>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705"/>
        <w:gridCol w:w="7658"/>
      </w:tblGrid>
      <w:tr>
        <w:tblPrEx>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c>
          <w:tcPr>
            <w:tcW w:w="705" w:type="dxa"/>
            <w:vAlign w:val="center"/>
          </w:tcPr>
          <w:p>
            <w:pPr>
              <w:adjustRightInd w:val="0"/>
              <w:snapToGrid w:val="0"/>
              <w:spacing w:line="360" w:lineRule="auto"/>
              <w:jc w:val="center"/>
              <w:rPr>
                <w:rFonts w:ascii="宋体" w:hAnsi="宋体"/>
                <w:kern w:val="0"/>
                <w:szCs w:val="21"/>
              </w:rPr>
            </w:pPr>
            <w:r>
              <w:rPr>
                <w:rFonts w:ascii="宋体" w:hAnsi="宋体" w:hint="eastAsia"/>
                <w:kern w:val="0"/>
                <w:szCs w:val="21"/>
              </w:rPr>
              <w:t>序号</w:t>
            </w:r>
          </w:p>
        </w:tc>
        <w:tc>
          <w:tcPr>
            <w:tcW w:w="7658" w:type="dxa"/>
            <w:vAlign w:val="center"/>
          </w:tcPr>
          <w:p>
            <w:pPr>
              <w:adjustRightInd w:val="0"/>
              <w:snapToGrid w:val="0"/>
              <w:spacing w:line="360" w:lineRule="auto"/>
              <w:jc w:val="center"/>
              <w:rPr>
                <w:rFonts w:ascii="宋体" w:hAnsi="宋体"/>
                <w:kern w:val="0"/>
                <w:szCs w:val="21"/>
              </w:rPr>
            </w:pPr>
            <w:r>
              <w:rPr>
                <w:rFonts w:ascii="宋体" w:hAnsi="宋体" w:hint="eastAsia"/>
                <w:kern w:val="0"/>
                <w:szCs w:val="21"/>
              </w:rPr>
              <w:t>具体内容</w:t>
            </w:r>
          </w:p>
        </w:tc>
      </w:tr>
      <w:tr>
        <w:tblPrEx>
          <w:tblW w:w="8363" w:type="dxa"/>
          <w:tblInd w:w="392" w:type="dxa"/>
          <w:tblLayout w:type="fixed"/>
          <w:tblCellMar>
            <w:top w:w="0" w:type="dxa"/>
            <w:left w:w="108" w:type="dxa"/>
            <w:bottom w:w="0" w:type="dxa"/>
            <w:right w:w="108" w:type="dxa"/>
          </w:tblCellMar>
        </w:tblPrEx>
        <w:tc>
          <w:tcPr>
            <w:tcW w:w="705" w:type="dxa"/>
            <w:vAlign w:val="center"/>
          </w:tcPr>
          <w:p>
            <w:pPr>
              <w:adjustRightInd w:val="0"/>
              <w:snapToGrid w:val="0"/>
              <w:spacing w:line="360" w:lineRule="auto"/>
              <w:jc w:val="center"/>
              <w:rPr>
                <w:rFonts w:ascii="宋体" w:hAnsi="宋体"/>
                <w:kern w:val="0"/>
                <w:szCs w:val="21"/>
              </w:rPr>
            </w:pPr>
            <w:r>
              <w:rPr>
                <w:rFonts w:ascii="宋体" w:hAnsi="宋体" w:hint="eastAsia"/>
                <w:kern w:val="0"/>
                <w:szCs w:val="21"/>
              </w:rPr>
              <w:t>1</w:t>
            </w:r>
          </w:p>
        </w:tc>
        <w:tc>
          <w:tcPr>
            <w:tcW w:w="7658" w:type="dxa"/>
            <w:vAlign w:val="center"/>
          </w:tcPr>
          <w:p>
            <w:pPr>
              <w:adjustRightInd w:val="0"/>
              <w:snapToGrid w:val="0"/>
              <w:spacing w:line="360" w:lineRule="auto"/>
              <w:jc w:val="left"/>
              <w:rPr>
                <w:rFonts w:hAnsi="宋体"/>
                <w:kern w:val="0"/>
                <w:szCs w:val="21"/>
              </w:rPr>
            </w:pPr>
            <w:r>
              <w:rPr>
                <w:rFonts w:ascii="宋体" w:eastAsia="宋体" w:hAnsi="宋体" w:cs="宋体" w:hint="eastAsia"/>
                <w:b/>
                <w:bCs/>
                <w:kern w:val="0"/>
                <w:szCs w:val="21"/>
                <w:u w:val="double"/>
              </w:rPr>
              <w:t>服务期限：本项目合同期自签订之日起至2025年12月31日止，中标单位必须于合同签订之日起提供500家持证餐饮单位及学校食堂的“互联网+明厨亮灶”视频数据运营（运维）服务；如有涉及设备更换、系统调试接入的，必须于2025年2月22日前确保至少225家坪山区学校食堂等重点餐饮服务单位正常运营（运维）服务，于2025年3月22日前确保500家餐企场所正常运营（运维）服务。</w:t>
            </w:r>
            <w:r>
              <w:rPr>
                <w:rFonts w:asciiTheme="minorEastAsia" w:eastAsiaTheme="minorEastAsia" w:hAnsiTheme="minorEastAsia" w:hint="eastAsia"/>
                <w:b/>
                <w:bCs w:val="0"/>
                <w:kern w:val="44"/>
                <w:szCs w:val="21"/>
                <w:u w:val="double"/>
              </w:rPr>
              <w:t>本项目为长期服务项目，合同履行期限最长不得超过三十六个月。服务期满后采购人可根据项目需求和中标人履约情况选择是否续签合同，最多续签两次，合同一年一签。</w:t>
            </w:r>
          </w:p>
        </w:tc>
      </w:tr>
      <w:tr>
        <w:tblPrEx>
          <w:tblW w:w="8363" w:type="dxa"/>
          <w:tblInd w:w="392" w:type="dxa"/>
          <w:tblLayout w:type="fixed"/>
          <w:tblCellMar>
            <w:top w:w="0" w:type="dxa"/>
            <w:left w:w="108" w:type="dxa"/>
            <w:bottom w:w="0" w:type="dxa"/>
            <w:right w:w="108" w:type="dxa"/>
          </w:tblCellMar>
        </w:tblPrEx>
        <w:tc>
          <w:tcPr>
            <w:tcW w:w="705" w:type="dxa"/>
            <w:vAlign w:val="center"/>
          </w:tcPr>
          <w:p>
            <w:pPr>
              <w:adjustRightInd w:val="0"/>
              <w:snapToGrid w:val="0"/>
              <w:spacing w:line="360" w:lineRule="auto"/>
              <w:jc w:val="center"/>
              <w:rPr>
                <w:rFonts w:ascii="宋体" w:hAnsi="宋体"/>
                <w:kern w:val="0"/>
                <w:szCs w:val="21"/>
              </w:rPr>
            </w:pPr>
            <w:r>
              <w:rPr>
                <w:rFonts w:ascii="宋体" w:hAnsi="宋体" w:hint="eastAsia"/>
                <w:kern w:val="0"/>
                <w:szCs w:val="21"/>
              </w:rPr>
              <w:t>2</w:t>
            </w:r>
          </w:p>
        </w:tc>
        <w:tc>
          <w:tcPr>
            <w:tcW w:w="7658" w:type="dxa"/>
            <w:vAlign w:val="center"/>
          </w:tcPr>
          <w:p>
            <w:pPr>
              <w:adjustRightInd w:val="0"/>
              <w:snapToGrid w:val="0"/>
              <w:spacing w:line="360" w:lineRule="auto"/>
              <w:jc w:val="left"/>
              <w:rPr>
                <w:rFonts w:ascii="Times New Roman" w:hAnsi="宋体"/>
                <w:kern w:val="0"/>
                <w:szCs w:val="21"/>
              </w:rPr>
            </w:pPr>
            <w:r>
              <w:rPr>
                <w:rFonts w:ascii="宋体" w:hAnsi="宋体" w:cs="宋体" w:hint="eastAsia"/>
                <w:b w:val="0"/>
                <w:bCs w:val="0"/>
                <w:szCs w:val="21"/>
                <w:lang w:eastAsia="zh-CN"/>
              </w:rPr>
              <w:t>投标供应商须提供法定代表人（单位负责人）和项目投标授权代表人在开标日前近一个月载有社保部门或税务部门公章的个人社保缴纳查询记录（不限定缴纳单位）；因社保部门或税务部门原因近一个月的社保证明暂时无法提供的，可往前顺延一个月；无社保缴纳记录或无法提供社保证明的需提供情况说明并承诺与其他投标供应商之间不存在法定代表人（单位负责人）、项目投标授权代表人为同一人、属同一单位或者在同一单位缴纳社保的情况（格式自拟）。未按要求提供相关材料或投标供应商之间存在法定代表人（单位负责人）、项目投标授权代表人为同一人、属同一单位或者在同一单位缴纳社保的，按投标无效处理。</w:t>
            </w:r>
          </w:p>
        </w:tc>
      </w:tr>
    </w:tbl>
    <w:p>
      <w:pPr>
        <w:adjustRightInd w:val="0"/>
        <w:snapToGrid w:val="0"/>
        <w:spacing w:line="360" w:lineRule="auto"/>
        <w:ind w:firstLine="420" w:firstLineChars="200"/>
      </w:pPr>
      <w:r>
        <w:rPr>
          <w:rFonts w:ascii="黑体" w:hint="eastAsia"/>
          <w:b/>
          <w:kern w:val="0"/>
          <w:sz w:val="24"/>
        </w:rPr>
        <w:t>注：上表所列内容为不可负偏离的实质性条款。</w:t>
      </w:r>
    </w:p>
    <w:p>
      <w:pPr>
        <w:pStyle w:val="BodyText"/>
        <w:jc w:val="center"/>
        <w:rPr>
          <w:rFonts w:ascii="宋体" w:hAnsi="宋体" w:hint="eastAsia"/>
          <w:sz w:val="28"/>
          <w:szCs w:val="28"/>
        </w:rPr>
      </w:pPr>
      <w:bookmarkEnd w:id="8"/>
    </w:p>
    <w:p>
      <w:pPr>
        <w:pStyle w:val="BodyText"/>
        <w:jc w:val="center"/>
        <w:rPr>
          <w:rFonts w:ascii="宋体" w:hAnsi="宋体"/>
          <w:sz w:val="28"/>
          <w:szCs w:val="28"/>
        </w:rPr>
      </w:pPr>
      <w:r>
        <w:rPr>
          <w:rFonts w:ascii="宋体" w:hAnsi="宋体" w:hint="eastAsia"/>
          <w:sz w:val="28"/>
          <w:szCs w:val="28"/>
        </w:rPr>
        <w:t>三、项目概况</w:t>
      </w:r>
    </w:p>
    <w:p>
      <w:pPr>
        <w:pStyle w:val="BodyText"/>
      </w:pPr>
      <w:r>
        <w:rPr>
          <w:rFonts w:hint="eastAsia"/>
        </w:rPr>
        <w:t>（一）采购需求</w:t>
      </w:r>
    </w:p>
    <w:tbl>
      <w:tblPr>
        <w:tblStyle w:val="TableNormal"/>
        <w:tblW w:w="9796" w:type="dxa"/>
        <w:tblInd w:w="0" w:type="dxa"/>
        <w:tblLayout w:type="fixed"/>
        <w:tblCellMar>
          <w:top w:w="15" w:type="dxa"/>
          <w:left w:w="15" w:type="dxa"/>
          <w:bottom w:w="15" w:type="dxa"/>
          <w:right w:w="15" w:type="dxa"/>
        </w:tblCellMar>
      </w:tblPr>
      <w:tblGrid>
        <w:gridCol w:w="866"/>
        <w:gridCol w:w="3685"/>
        <w:gridCol w:w="921"/>
        <w:gridCol w:w="922"/>
        <w:gridCol w:w="1701"/>
        <w:gridCol w:w="1701"/>
      </w:tblGrid>
      <w:tr>
        <w:tblPrEx>
          <w:tblW w:w="9796" w:type="dxa"/>
          <w:tblInd w:w="0" w:type="dxa"/>
          <w:tblLayout w:type="fixed"/>
          <w:tblCellMar>
            <w:top w:w="15" w:type="dxa"/>
            <w:left w:w="15" w:type="dxa"/>
            <w:bottom w:w="15" w:type="dxa"/>
            <w:right w:w="15" w:type="dxa"/>
          </w:tblCellMar>
        </w:tblPrEx>
        <w:trPr>
          <w:trHeight w:val="689"/>
        </w:trPr>
        <w:tc>
          <w:tcPr>
            <w:tcW w:w="866" w:type="dxa"/>
            <w:tcBorders>
              <w:top w:val="single" w:sz="4" w:space="0" w:color="000000"/>
              <w:left w:val="single" w:sz="4" w:space="0" w:color="000000"/>
              <w:right w:val="single" w:sz="4" w:space="0" w:color="000000"/>
            </w:tcBorders>
            <w:vAlign w:val="center"/>
          </w:tcPr>
          <w:p>
            <w:pPr>
              <w:widowControl/>
              <w:adjustRightInd w:val="0"/>
              <w:snapToGrid w:val="0"/>
              <w:spacing w:line="360" w:lineRule="auto"/>
              <w:jc w:val="center"/>
              <w:textAlignment w:val="center"/>
              <w:rPr>
                <w:rFonts w:ascii="宋体" w:hAnsi="宋体" w:cs="宋体"/>
                <w:b/>
                <w:szCs w:val="21"/>
              </w:rPr>
            </w:pPr>
            <w:r>
              <w:rPr>
                <w:rFonts w:ascii="宋体" w:hAnsi="宋体" w:cs="宋体" w:hint="eastAsia"/>
                <w:b/>
                <w:szCs w:val="21"/>
              </w:rPr>
              <w:t>序号</w:t>
            </w:r>
          </w:p>
        </w:tc>
        <w:tc>
          <w:tcPr>
            <w:tcW w:w="3685" w:type="dxa"/>
            <w:tcBorders>
              <w:top w:val="single" w:sz="4" w:space="0" w:color="000000"/>
              <w:left w:val="single" w:sz="4" w:space="0" w:color="000000"/>
              <w:bottom w:val="single" w:sz="4" w:space="0" w:color="000000"/>
              <w:right w:val="single" w:sz="4" w:space="0" w:color="000000"/>
            </w:tcBorders>
            <w:vAlign w:val="center"/>
          </w:tcPr>
          <w:p>
            <w:pPr>
              <w:widowControl/>
              <w:adjustRightInd w:val="0"/>
              <w:snapToGrid w:val="0"/>
              <w:spacing w:line="360" w:lineRule="auto"/>
              <w:jc w:val="center"/>
              <w:textAlignment w:val="center"/>
              <w:rPr>
                <w:rFonts w:ascii="宋体" w:hAnsi="宋体" w:cs="宋体"/>
                <w:b/>
                <w:color w:val="FF0000"/>
                <w:szCs w:val="21"/>
              </w:rPr>
            </w:pPr>
            <w:r>
              <w:rPr>
                <w:rFonts w:ascii="宋体" w:hAnsi="宋体" w:cs="宋体" w:hint="eastAsia"/>
                <w:b/>
                <w:color w:val="FF0000"/>
                <w:szCs w:val="21"/>
              </w:rPr>
              <w:t>标的名称</w:t>
            </w:r>
          </w:p>
        </w:tc>
        <w:tc>
          <w:tcPr>
            <w:tcW w:w="921" w:type="dxa"/>
            <w:tcBorders>
              <w:top w:val="single" w:sz="4" w:space="0" w:color="000000"/>
              <w:left w:val="single" w:sz="4" w:space="0" w:color="000000"/>
              <w:bottom w:val="single" w:sz="4" w:space="0" w:color="000000"/>
              <w:right w:val="single" w:sz="4" w:space="0" w:color="000000"/>
            </w:tcBorders>
            <w:vAlign w:val="center"/>
          </w:tcPr>
          <w:p>
            <w:pPr>
              <w:widowControl/>
              <w:adjustRightInd w:val="0"/>
              <w:snapToGrid w:val="0"/>
              <w:spacing w:line="360" w:lineRule="auto"/>
              <w:jc w:val="center"/>
              <w:textAlignment w:val="center"/>
              <w:rPr>
                <w:rFonts w:ascii="宋体" w:hAnsi="宋体" w:cs="宋体"/>
                <w:b/>
                <w:szCs w:val="21"/>
              </w:rPr>
            </w:pPr>
            <w:r>
              <w:rPr>
                <w:rFonts w:ascii="宋体" w:hAnsi="宋体" w:cs="宋体" w:hint="eastAsia"/>
                <w:b/>
                <w:szCs w:val="21"/>
              </w:rPr>
              <w:t>数量</w:t>
            </w:r>
          </w:p>
        </w:tc>
        <w:tc>
          <w:tcPr>
            <w:tcW w:w="922" w:type="dxa"/>
            <w:tcBorders>
              <w:top w:val="single" w:sz="4" w:space="0" w:color="000000"/>
              <w:left w:val="single" w:sz="4" w:space="0" w:color="000000"/>
              <w:bottom w:val="single" w:sz="4" w:space="0" w:color="000000"/>
              <w:right w:val="single" w:sz="4" w:space="0" w:color="000000"/>
            </w:tcBorders>
            <w:vAlign w:val="center"/>
          </w:tcPr>
          <w:p>
            <w:pPr>
              <w:widowControl/>
              <w:adjustRightInd w:val="0"/>
              <w:snapToGrid w:val="0"/>
              <w:spacing w:line="360" w:lineRule="auto"/>
              <w:jc w:val="center"/>
              <w:textAlignment w:val="center"/>
              <w:rPr>
                <w:rFonts w:ascii="宋体" w:hAnsi="宋体" w:cs="宋体"/>
                <w:b/>
                <w:szCs w:val="21"/>
              </w:rPr>
            </w:pPr>
            <w:r>
              <w:rPr>
                <w:rFonts w:ascii="宋体" w:hAnsi="宋体" w:cs="宋体" w:hint="eastAsia"/>
                <w:b/>
                <w:szCs w:val="21"/>
              </w:rPr>
              <w:t>单位</w:t>
            </w:r>
          </w:p>
        </w:tc>
        <w:tc>
          <w:tcPr>
            <w:tcW w:w="1701" w:type="dxa"/>
            <w:tcBorders>
              <w:top w:val="single" w:sz="4" w:space="0" w:color="000000"/>
              <w:left w:val="single" w:sz="4" w:space="0" w:color="000000"/>
              <w:bottom w:val="single" w:sz="4" w:space="0" w:color="000000"/>
              <w:right w:val="single" w:sz="4" w:space="0" w:color="000000"/>
            </w:tcBorders>
            <w:vAlign w:val="center"/>
          </w:tcPr>
          <w:p>
            <w:pPr>
              <w:widowControl/>
              <w:adjustRightInd w:val="0"/>
              <w:snapToGrid w:val="0"/>
              <w:spacing w:line="360" w:lineRule="auto"/>
              <w:jc w:val="center"/>
              <w:textAlignment w:val="center"/>
              <w:rPr>
                <w:rFonts w:ascii="宋体" w:hAnsi="宋体" w:cs="宋体"/>
                <w:b/>
                <w:szCs w:val="21"/>
              </w:rPr>
            </w:pPr>
            <w:r>
              <w:rPr>
                <w:rFonts w:ascii="宋体" w:hAnsi="宋体" w:cs="宋体" w:hint="eastAsia"/>
                <w:b/>
                <w:szCs w:val="21"/>
              </w:rPr>
              <w:t>采购预算金额</w:t>
            </w:r>
          </w:p>
          <w:p>
            <w:pPr>
              <w:widowControl/>
              <w:adjustRightInd w:val="0"/>
              <w:snapToGrid w:val="0"/>
              <w:spacing w:line="360" w:lineRule="auto"/>
              <w:jc w:val="center"/>
              <w:textAlignment w:val="center"/>
              <w:rPr>
                <w:rFonts w:ascii="宋体" w:hAnsi="宋体" w:cs="宋体"/>
                <w:b/>
                <w:szCs w:val="21"/>
              </w:rPr>
            </w:pPr>
            <w:r>
              <w:rPr>
                <w:rFonts w:ascii="宋体" w:hAnsi="宋体" w:cs="宋体" w:hint="eastAsia"/>
                <w:b/>
                <w:szCs w:val="21"/>
              </w:rPr>
              <w:t>（人民币元）</w:t>
            </w:r>
          </w:p>
        </w:tc>
        <w:tc>
          <w:tcPr>
            <w:tcW w:w="1701" w:type="dxa"/>
            <w:tcBorders>
              <w:top w:val="single" w:sz="4" w:space="0" w:color="000000"/>
              <w:left w:val="single" w:sz="4" w:space="0" w:color="000000"/>
              <w:bottom w:val="single" w:sz="4" w:space="0" w:color="000000"/>
              <w:right w:val="single" w:sz="4" w:space="0" w:color="000000"/>
            </w:tcBorders>
            <w:vAlign w:val="center"/>
          </w:tcPr>
          <w:p>
            <w:pPr>
              <w:widowControl/>
              <w:adjustRightInd w:val="0"/>
              <w:snapToGrid w:val="0"/>
              <w:spacing w:line="360" w:lineRule="auto"/>
              <w:jc w:val="center"/>
              <w:textAlignment w:val="center"/>
              <w:rPr>
                <w:rFonts w:ascii="宋体" w:hAnsi="宋体" w:cs="宋体"/>
                <w:b/>
                <w:szCs w:val="21"/>
              </w:rPr>
            </w:pPr>
            <w:r>
              <w:rPr>
                <w:rFonts w:ascii="宋体" w:hAnsi="宋体" w:cs="宋体" w:hint="eastAsia"/>
                <w:b/>
                <w:szCs w:val="21"/>
              </w:rPr>
              <w:t>备注</w:t>
            </w:r>
          </w:p>
        </w:tc>
      </w:tr>
      <w:tr>
        <w:tblPrEx>
          <w:tblW w:w="9796" w:type="dxa"/>
          <w:tblInd w:w="0" w:type="dxa"/>
          <w:tblLayout w:type="fixed"/>
          <w:tblCellMar>
            <w:top w:w="15" w:type="dxa"/>
            <w:left w:w="15" w:type="dxa"/>
            <w:bottom w:w="15" w:type="dxa"/>
            <w:right w:w="15" w:type="dxa"/>
          </w:tblCellMar>
        </w:tblPrEx>
        <w:trPr>
          <w:trHeight w:val="799"/>
        </w:trPr>
        <w:tc>
          <w:tcPr>
            <w:tcW w:w="866" w:type="dxa"/>
            <w:tcBorders>
              <w:top w:val="single" w:sz="4" w:space="0" w:color="000000"/>
              <w:left w:val="single" w:sz="4" w:space="0" w:color="000000"/>
              <w:bottom w:val="single" w:sz="4" w:space="0" w:color="000000"/>
              <w:right w:val="single" w:sz="4" w:space="0" w:color="000000"/>
            </w:tcBorders>
            <w:vAlign w:val="center"/>
          </w:tcPr>
          <w:p>
            <w:pPr>
              <w:widowControl/>
              <w:adjustRightInd w:val="0"/>
              <w:snapToGrid w:val="0"/>
              <w:spacing w:line="360" w:lineRule="auto"/>
              <w:jc w:val="center"/>
              <w:textAlignment w:val="center"/>
              <w:rPr>
                <w:rFonts w:ascii="宋体" w:hAnsi="宋体" w:cs="宋体"/>
                <w:szCs w:val="21"/>
              </w:rPr>
            </w:pPr>
            <w:r>
              <w:rPr>
                <w:rFonts w:ascii="Times New Roman" w:hAnsi="Times New Roman" w:hint="eastAsia"/>
                <w:szCs w:val="24"/>
              </w:rPr>
              <w:t>1</w:t>
            </w:r>
          </w:p>
        </w:tc>
        <w:tc>
          <w:tcPr>
            <w:tcW w:w="3685" w:type="dxa"/>
            <w:tcBorders>
              <w:top w:val="single" w:sz="4" w:space="0" w:color="000000"/>
              <w:left w:val="single" w:sz="4" w:space="0" w:color="000000"/>
              <w:bottom w:val="single" w:sz="4" w:space="0" w:color="000000"/>
              <w:right w:val="single" w:sz="4" w:space="0" w:color="000000"/>
            </w:tcBorders>
            <w:vAlign w:val="center"/>
          </w:tcPr>
          <w:p>
            <w:pPr>
              <w:widowControl/>
              <w:adjustRightInd w:val="0"/>
              <w:snapToGrid w:val="0"/>
              <w:spacing w:line="360" w:lineRule="auto"/>
              <w:jc w:val="center"/>
              <w:textAlignment w:val="center"/>
              <w:rPr>
                <w:rFonts w:ascii="宋体" w:eastAsia="宋体" w:hAnsi="宋体" w:cs="宋体" w:hint="eastAsia"/>
                <w:szCs w:val="21"/>
                <w:lang w:eastAsia="zh-CN"/>
              </w:rPr>
            </w:pPr>
            <w:r>
              <w:rPr>
                <w:rFonts w:ascii="宋体" w:hAnsi="宋体" w:hint="eastAsia"/>
                <w:snapToGrid w:val="0"/>
                <w:szCs w:val="21"/>
                <w:lang w:eastAsia="zh-CN"/>
              </w:rPr>
              <w:t>坪山区“互联网+明厨亮灶”视频服务采购项目</w:t>
            </w:r>
          </w:p>
        </w:tc>
        <w:tc>
          <w:tcPr>
            <w:tcW w:w="921" w:type="dxa"/>
            <w:tcBorders>
              <w:top w:val="single" w:sz="4" w:space="0" w:color="000000"/>
              <w:left w:val="single" w:sz="4" w:space="0" w:color="000000"/>
              <w:bottom w:val="single" w:sz="4" w:space="0" w:color="000000"/>
              <w:right w:val="single" w:sz="4" w:space="0" w:color="000000"/>
            </w:tcBorders>
            <w:vAlign w:val="center"/>
          </w:tcPr>
          <w:p>
            <w:pPr>
              <w:widowControl/>
              <w:adjustRightInd w:val="0"/>
              <w:snapToGrid w:val="0"/>
              <w:spacing w:line="360" w:lineRule="auto"/>
              <w:jc w:val="center"/>
              <w:textAlignment w:val="center"/>
              <w:rPr>
                <w:rFonts w:ascii="宋体" w:hAnsi="宋体" w:cs="宋体"/>
                <w:szCs w:val="21"/>
              </w:rPr>
            </w:pPr>
            <w:r>
              <w:rPr>
                <w:rFonts w:ascii="宋体" w:hAnsi="宋体" w:cs="宋体" w:hint="eastAsia"/>
                <w:szCs w:val="21"/>
              </w:rPr>
              <w:t>1</w:t>
            </w:r>
          </w:p>
        </w:tc>
        <w:tc>
          <w:tcPr>
            <w:tcW w:w="922" w:type="dxa"/>
            <w:tcBorders>
              <w:top w:val="single" w:sz="4" w:space="0" w:color="000000"/>
              <w:left w:val="single" w:sz="4" w:space="0" w:color="000000"/>
              <w:bottom w:val="single" w:sz="4" w:space="0" w:color="000000"/>
              <w:right w:val="single" w:sz="4" w:space="0" w:color="000000"/>
            </w:tcBorders>
            <w:vAlign w:val="center"/>
          </w:tcPr>
          <w:p>
            <w:pPr>
              <w:widowControl/>
              <w:adjustRightInd w:val="0"/>
              <w:snapToGrid w:val="0"/>
              <w:spacing w:line="360" w:lineRule="auto"/>
              <w:jc w:val="center"/>
              <w:textAlignment w:val="center"/>
              <w:rPr>
                <w:rFonts w:ascii="宋体" w:hAnsi="宋体" w:cs="宋体"/>
                <w:szCs w:val="21"/>
              </w:rPr>
            </w:pPr>
            <w:r>
              <w:rPr>
                <w:rFonts w:ascii="宋体" w:hAnsi="宋体" w:cs="宋体" w:hint="eastAsia"/>
                <w:szCs w:val="21"/>
              </w:rPr>
              <w:t>项</w:t>
            </w:r>
          </w:p>
        </w:tc>
        <w:tc>
          <w:tcPr>
            <w:tcW w:w="1701" w:type="dxa"/>
            <w:tcBorders>
              <w:top w:val="single" w:sz="4" w:space="0" w:color="000000"/>
              <w:left w:val="single" w:sz="4" w:space="0" w:color="000000"/>
              <w:bottom w:val="single" w:sz="4" w:space="0" w:color="000000"/>
              <w:right w:val="single" w:sz="4" w:space="0" w:color="000000"/>
            </w:tcBorders>
            <w:vAlign w:val="center"/>
          </w:tcPr>
          <w:p>
            <w:pPr>
              <w:widowControl/>
              <w:adjustRightInd w:val="0"/>
              <w:snapToGrid w:val="0"/>
              <w:spacing w:line="360" w:lineRule="auto"/>
              <w:jc w:val="center"/>
              <w:textAlignment w:val="center"/>
              <w:rPr>
                <w:rFonts w:ascii="宋体" w:hAnsi="宋体" w:cs="宋体"/>
                <w:szCs w:val="21"/>
              </w:rPr>
            </w:pPr>
            <w:r>
              <w:rPr>
                <w:rFonts w:ascii="宋体" w:hAnsi="宋体" w:cs="宋体" w:hint="eastAsia"/>
                <w:szCs w:val="21"/>
              </w:rPr>
              <w:t>1,856,000.00</w:t>
            </w:r>
          </w:p>
        </w:tc>
        <w:tc>
          <w:tcPr>
            <w:tcW w:w="1701" w:type="dxa"/>
            <w:tcBorders>
              <w:top w:val="single" w:sz="4" w:space="0" w:color="000000"/>
              <w:left w:val="single" w:sz="4" w:space="0" w:color="000000"/>
              <w:bottom w:val="single" w:sz="4" w:space="0" w:color="000000"/>
              <w:right w:val="single" w:sz="4" w:space="0" w:color="000000"/>
            </w:tcBorders>
            <w:vAlign w:val="center"/>
          </w:tcPr>
          <w:p>
            <w:pPr>
              <w:widowControl/>
              <w:adjustRightInd w:val="0"/>
              <w:snapToGrid w:val="0"/>
              <w:spacing w:line="360" w:lineRule="auto"/>
              <w:jc w:val="center"/>
              <w:textAlignment w:val="center"/>
              <w:rPr>
                <w:rFonts w:ascii="宋体" w:hAnsi="宋体" w:cs="宋体"/>
                <w:szCs w:val="21"/>
              </w:rPr>
            </w:pPr>
            <w:r>
              <w:rPr>
                <w:rFonts w:ascii="宋体" w:hAnsi="宋体" w:cs="宋体" w:hint="eastAsia"/>
                <w:szCs w:val="21"/>
              </w:rPr>
              <w:t>无</w:t>
            </w:r>
          </w:p>
        </w:tc>
      </w:tr>
    </w:tbl>
    <w:p>
      <w:pPr>
        <w:autoSpaceDE w:val="0"/>
        <w:autoSpaceDN w:val="0"/>
        <w:adjustRightInd w:val="0"/>
        <w:spacing w:line="360" w:lineRule="auto"/>
        <w:ind w:firstLine="370" w:firstLineChars="176"/>
        <w:jc w:val="left"/>
        <w:rPr>
          <w:rFonts w:ascii="仿宋_GB2312" w:eastAsia="仿宋_GB2312" w:hAnsi="Times New Roman"/>
          <w:b/>
          <w:sz w:val="24"/>
          <w:szCs w:val="24"/>
        </w:rPr>
      </w:pPr>
      <w:r>
        <w:rPr>
          <w:rFonts w:ascii="仿宋_GB2312" w:eastAsia="仿宋_GB2312" w:hAnsi="Times New Roman" w:hint="eastAsia"/>
          <w:b/>
          <w:sz w:val="24"/>
          <w:szCs w:val="24"/>
        </w:rPr>
        <w:t>备注：</w:t>
      </w:r>
    </w:p>
    <w:p>
      <w:pPr>
        <w:autoSpaceDE w:val="0"/>
        <w:autoSpaceDN w:val="0"/>
        <w:adjustRightInd w:val="0"/>
        <w:spacing w:line="360" w:lineRule="auto"/>
        <w:ind w:firstLine="370" w:firstLineChars="176"/>
        <w:jc w:val="left"/>
        <w:rPr>
          <w:rFonts w:ascii="仿宋_GB2312" w:eastAsia="仿宋_GB2312" w:hAnsi="Times New Roman"/>
          <w:b/>
          <w:sz w:val="24"/>
          <w:szCs w:val="24"/>
        </w:rPr>
      </w:pPr>
      <w:r>
        <w:rPr>
          <w:rFonts w:ascii="仿宋_GB2312" w:eastAsia="仿宋_GB2312" w:hAnsi="Times New Roman" w:hint="eastAsia"/>
          <w:b/>
          <w:sz w:val="24"/>
          <w:szCs w:val="24"/>
        </w:rPr>
        <w:t>1、本项目需求中出现的工艺、材料、设备或参照的品牌等仅为方便描述而没有限制性，投标人可以在其提供的文件资料中选用替代标准，但这些替代标准要优于或相当于项目需求中要求的标准。</w:t>
      </w:r>
    </w:p>
    <w:p>
      <w:pPr>
        <w:autoSpaceDE w:val="0"/>
        <w:autoSpaceDN w:val="0"/>
        <w:adjustRightInd w:val="0"/>
        <w:spacing w:line="360" w:lineRule="auto"/>
        <w:ind w:firstLine="370" w:firstLineChars="176"/>
        <w:jc w:val="left"/>
        <w:rPr>
          <w:rFonts w:ascii="仿宋_GB2312" w:eastAsia="仿宋_GB2312" w:hAnsi="Times New Roman"/>
          <w:b/>
          <w:sz w:val="24"/>
          <w:szCs w:val="24"/>
        </w:rPr>
      </w:pPr>
      <w:r>
        <w:rPr>
          <w:rFonts w:ascii="仿宋_GB2312" w:eastAsia="仿宋_GB2312" w:hAnsi="Times New Roman" w:hint="eastAsia"/>
          <w:b/>
          <w:sz w:val="24"/>
          <w:szCs w:val="24"/>
        </w:rPr>
        <w:t>2、如要求提供证明材料，投标文件需提供相应证明材料扫描件（或截图等）并注明证明材料在投标文件中的具体位置，未按要求提供证明材料或未注明证明材料的具体位置或提供的证明资料显示不符合招标文件要求、模糊不清无法判断或未显示是否满足招标文件要求的，均视为负偏离；未要求提供相应证明材料的，投标人可以不提供，如果投标人提供了相应的证明材料，则按照上述对应情形处理；投标人提供多份证明材料且证明材料信息相互冲突的，以不利于投标人的那份证明材料作为判断是否符合采购需求的响应内容。</w:t>
      </w:r>
    </w:p>
    <w:p>
      <w:pPr>
        <w:autoSpaceDE w:val="0"/>
        <w:autoSpaceDN w:val="0"/>
        <w:adjustRightInd w:val="0"/>
        <w:spacing w:line="360" w:lineRule="auto"/>
        <w:ind w:firstLine="370" w:firstLineChars="176"/>
        <w:jc w:val="left"/>
        <w:rPr>
          <w:rFonts w:ascii="仿宋_GB2312" w:eastAsia="仿宋_GB2312" w:hAnsi="Times New Roman"/>
          <w:b/>
          <w:sz w:val="24"/>
          <w:szCs w:val="24"/>
        </w:rPr>
      </w:pPr>
      <w:r>
        <w:rPr>
          <w:rFonts w:ascii="仿宋_GB2312" w:eastAsia="仿宋_GB2312" w:hAnsi="Times New Roman" w:hint="eastAsia"/>
          <w:b/>
          <w:sz w:val="24"/>
          <w:szCs w:val="24"/>
        </w:rPr>
        <w:t>3、投标人提供证书或检测报告等证明材料的，颁发证书、出具报告的机构须是合法设立的机构，且具有颁发相应证书或者出具相应报告的资质。</w:t>
      </w:r>
    </w:p>
    <w:p>
      <w:pPr>
        <w:autoSpaceDE w:val="0"/>
        <w:autoSpaceDN w:val="0"/>
        <w:adjustRightInd w:val="0"/>
        <w:spacing w:line="360" w:lineRule="auto"/>
        <w:ind w:firstLine="370" w:firstLineChars="176"/>
        <w:jc w:val="left"/>
        <w:rPr>
          <w:rFonts w:ascii="仿宋_GB2312" w:eastAsia="仿宋_GB2312" w:hAnsi="Times New Roman"/>
          <w:b/>
          <w:sz w:val="24"/>
          <w:szCs w:val="24"/>
        </w:rPr>
      </w:pPr>
      <w:r>
        <w:rPr>
          <w:rFonts w:ascii="仿宋_GB2312" w:eastAsia="仿宋_GB2312" w:hAnsi="Times New Roman" w:hint="eastAsia"/>
          <w:b/>
          <w:sz w:val="24"/>
          <w:szCs w:val="24"/>
          <w:highlight w:val="yellow"/>
        </w:rPr>
        <w:t>4、加注★的条款为不可负偏离的实质性条款，任一项未响应或不满足要求的，将导致投标无效。</w:t>
      </w:r>
    </w:p>
    <w:p>
      <w:pPr>
        <w:autoSpaceDE w:val="0"/>
        <w:autoSpaceDN w:val="0"/>
        <w:adjustRightInd w:val="0"/>
        <w:spacing w:line="360" w:lineRule="auto"/>
        <w:ind w:firstLine="370" w:firstLineChars="176"/>
        <w:jc w:val="left"/>
        <w:rPr>
          <w:rFonts w:ascii="宋体" w:hAnsi="宋体"/>
          <w:b/>
          <w:bCs/>
          <w:kern w:val="0"/>
          <w:sz w:val="24"/>
          <w:szCs w:val="20"/>
        </w:rPr>
      </w:pPr>
    </w:p>
    <w:p>
      <w:pPr>
        <w:keepNext/>
        <w:keepLines/>
        <w:adjustRightInd w:val="0"/>
        <w:spacing w:before="156" w:beforeLines="50" w:after="156" w:afterLines="50"/>
        <w:jc w:val="center"/>
        <w:textAlignment w:val="baseline"/>
        <w:outlineLvl w:val="1"/>
        <w:rPr>
          <w:rFonts w:ascii="宋体" w:hAnsi="宋体"/>
          <w:b/>
          <w:bCs/>
          <w:kern w:val="0"/>
          <w:sz w:val="28"/>
          <w:szCs w:val="28"/>
        </w:rPr>
      </w:pPr>
      <w:r>
        <w:rPr>
          <w:rFonts w:ascii="宋体" w:hAnsi="宋体" w:hint="eastAsia"/>
          <w:b/>
          <w:bCs/>
          <w:kern w:val="0"/>
          <w:sz w:val="28"/>
          <w:szCs w:val="28"/>
        </w:rPr>
        <w:t>四、项目服务要求</w:t>
      </w:r>
    </w:p>
    <w:p>
      <w:pPr>
        <w:spacing w:line="360" w:lineRule="auto"/>
        <w:ind w:firstLine="420" w:firstLineChars="200"/>
        <w:jc w:val="left"/>
        <w:rPr>
          <w:rFonts w:ascii="宋体" w:hAnsi="宋体" w:hint="eastAsia"/>
          <w:b/>
          <w:bCs/>
          <w:szCs w:val="21"/>
        </w:rPr>
      </w:pPr>
      <w:r>
        <w:rPr>
          <w:rFonts w:ascii="宋体" w:hAnsi="宋体" w:hint="eastAsia"/>
          <w:b/>
          <w:bCs/>
          <w:szCs w:val="21"/>
          <w:lang w:eastAsia="zh-CN"/>
        </w:rPr>
        <w:t>（</w:t>
      </w:r>
      <w:r>
        <w:rPr>
          <w:rFonts w:ascii="宋体" w:hAnsi="宋体" w:hint="eastAsia"/>
          <w:b/>
          <w:bCs/>
          <w:szCs w:val="21"/>
          <w:lang w:val="en-US" w:eastAsia="zh-CN"/>
        </w:rPr>
        <w:t>一</w:t>
      </w:r>
      <w:r>
        <w:rPr>
          <w:rFonts w:ascii="宋体" w:hAnsi="宋体" w:hint="eastAsia"/>
          <w:b/>
          <w:bCs/>
          <w:szCs w:val="21"/>
          <w:lang w:eastAsia="zh-CN"/>
        </w:rPr>
        <w:t>）</w:t>
      </w:r>
      <w:r>
        <w:rPr>
          <w:rFonts w:ascii="宋体" w:hAnsi="宋体" w:hint="eastAsia"/>
          <w:b/>
          <w:bCs/>
          <w:szCs w:val="21"/>
        </w:rPr>
        <w:t>项目概况</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1.</w:t>
      </w:r>
      <w:r>
        <w:rPr>
          <w:rFonts w:ascii="宋体" w:hAnsi="宋体" w:hint="eastAsia"/>
          <w:b/>
          <w:bCs/>
          <w:szCs w:val="21"/>
        </w:rPr>
        <w:t>项目背景及项目整体情况</w:t>
      </w:r>
    </w:p>
    <w:p>
      <w:pPr>
        <w:spacing w:line="360" w:lineRule="auto"/>
        <w:ind w:firstLine="420" w:firstLineChars="200"/>
        <w:jc w:val="left"/>
        <w:rPr>
          <w:rFonts w:ascii="宋体" w:hAnsi="宋体" w:hint="eastAsia"/>
          <w:szCs w:val="21"/>
        </w:rPr>
      </w:pPr>
      <w:r>
        <w:rPr>
          <w:rFonts w:ascii="宋体" w:hAnsi="宋体" w:hint="eastAsia"/>
          <w:szCs w:val="21"/>
        </w:rPr>
        <w:t>根据深圳市人民政府印发的《深圳市实施食品安全战略建立供深标准体系打造市民满意的食品安全示范城市工作方案（2018-2020年）》（深府〔2018〕41号），深入推进落实《深圳市阳光智慧餐饮工程工作方案（2018-2020年）》（深府办〔2018〕1号），其中“互联网+明厨亮灶”工程建设提出：开展全市餐饮单位“互联网+明厨亮灶”标准化建设，在现有“明厨亮灶”的基础上，探索建立“网络摄像头+开放、橱窗式明厨亮灶”的形式展示食品加工制作全过程。根据市领导食品安全战略第五次例会的会议精神，以“目标导向、问题导向、操作导向、结果导向”做好阳光智慧餐饮“互联网+明厨亮灶”工作的指示，采用购买服务的方式，由服务供应商按照“互联网+明厨亮灶”标准提供餐饮服务单位视频监控信号和向消费者展示后厨食品加工全过程，通过“操作阳光”实现食品安全“共治共享”。“互联网+明厨亮灶”是市场监管部门“阳光智慧餐饮监管与信息公示系统”视频信号采集、接入、展示的前端和基础。</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2.</w:t>
      </w:r>
      <w:r>
        <w:rPr>
          <w:rFonts w:ascii="宋体" w:hAnsi="宋体" w:hint="eastAsia"/>
          <w:b/>
          <w:bCs/>
          <w:szCs w:val="21"/>
        </w:rPr>
        <w:t>项目目标</w:t>
      </w:r>
    </w:p>
    <w:p>
      <w:pPr>
        <w:spacing w:line="360" w:lineRule="auto"/>
        <w:ind w:firstLine="420" w:firstLineChars="200"/>
        <w:jc w:val="left"/>
        <w:rPr>
          <w:rFonts w:ascii="宋体" w:hAnsi="宋体" w:hint="eastAsia"/>
          <w:b/>
          <w:bCs/>
          <w:szCs w:val="21"/>
          <w:lang w:val="en-US" w:eastAsia="zh-CN"/>
        </w:rPr>
      </w:pPr>
      <w:r>
        <w:rPr>
          <w:rFonts w:asciiTheme="minorEastAsia" w:eastAsiaTheme="minorEastAsia" w:hAnsiTheme="minorEastAsia" w:hint="eastAsia"/>
          <w:b/>
          <w:bCs w:val="0"/>
          <w:kern w:val="44"/>
          <w:szCs w:val="21"/>
          <w:u w:val="double"/>
        </w:rPr>
        <w:t>本项目对坪山区学校食堂等重点餐饮服务单位、坪山区经营面积为200平方米或以上的社会餐饮服务单位、园区食堂和网络餐饮服务单位提供“互联网+明厨亮灶”视频数据运营（运维）服务，服务包含但不限于网络租赁、运营（运维）服务平台租赁、日常维护、硬件设备更换、餐饮单位更新安装等内容，确保正常运行。</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3.</w:t>
      </w:r>
      <w:r>
        <w:rPr>
          <w:rFonts w:ascii="宋体" w:hAnsi="宋体" w:hint="eastAsia"/>
          <w:b/>
          <w:bCs/>
          <w:szCs w:val="21"/>
        </w:rPr>
        <w:t>项目清单及预算</w:t>
      </w:r>
    </w:p>
    <w:tbl>
      <w:tblPr>
        <w:tblStyle w:val="TableNormal"/>
        <w:tblW w:w="9481"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886"/>
        <w:gridCol w:w="4172"/>
        <w:gridCol w:w="1200"/>
        <w:gridCol w:w="1233"/>
        <w:gridCol w:w="1990"/>
      </w:tblGrid>
      <w:tr>
        <w:tblPrEx>
          <w:tblW w:w="9481"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23"/>
        </w:trPr>
        <w:tc>
          <w:tcPr>
            <w:tcW w:w="886" w:type="dxa"/>
            <w:noWrap w:val="0"/>
            <w:vAlign w:val="center"/>
          </w:tcPr>
          <w:p>
            <w:pPr>
              <w:spacing w:line="360" w:lineRule="auto"/>
              <w:jc w:val="center"/>
              <w:rPr>
                <w:rFonts w:ascii="宋体" w:eastAsia="宋体" w:hAnsi="宋体" w:cs="宋体" w:hint="eastAsia"/>
                <w:b/>
                <w:bCs/>
                <w:color w:val="000000"/>
                <w:sz w:val="21"/>
                <w:szCs w:val="21"/>
                <w:highlight w:val="none"/>
                <w:u w:val="double"/>
              </w:rPr>
            </w:pPr>
            <w:r>
              <w:rPr>
                <w:rFonts w:ascii="宋体" w:eastAsia="宋体" w:hAnsi="宋体" w:cs="宋体" w:hint="eastAsia"/>
                <w:b/>
                <w:bCs/>
                <w:color w:val="000000"/>
                <w:sz w:val="21"/>
                <w:szCs w:val="21"/>
                <w:highlight w:val="none"/>
                <w:u w:val="double"/>
              </w:rPr>
              <w:t>序号</w:t>
            </w:r>
          </w:p>
        </w:tc>
        <w:tc>
          <w:tcPr>
            <w:tcW w:w="4172" w:type="dxa"/>
            <w:noWrap w:val="0"/>
            <w:vAlign w:val="center"/>
          </w:tcPr>
          <w:p>
            <w:pPr>
              <w:spacing w:line="360" w:lineRule="auto"/>
              <w:jc w:val="center"/>
              <w:rPr>
                <w:rFonts w:ascii="宋体" w:eastAsia="宋体" w:hAnsi="宋体" w:cs="宋体" w:hint="eastAsia"/>
                <w:b/>
                <w:bCs/>
                <w:color w:val="000000"/>
                <w:sz w:val="21"/>
                <w:szCs w:val="21"/>
                <w:highlight w:val="none"/>
                <w:u w:val="double"/>
              </w:rPr>
            </w:pPr>
            <w:r>
              <w:rPr>
                <w:rFonts w:ascii="宋体" w:eastAsia="宋体" w:hAnsi="宋体" w:cs="宋体" w:hint="eastAsia"/>
                <w:b/>
                <w:bCs/>
                <w:color w:val="000000"/>
                <w:sz w:val="21"/>
                <w:szCs w:val="21"/>
                <w:highlight w:val="none"/>
                <w:u w:val="double"/>
              </w:rPr>
              <w:t>名称</w:t>
            </w:r>
          </w:p>
        </w:tc>
        <w:tc>
          <w:tcPr>
            <w:tcW w:w="1200" w:type="dxa"/>
            <w:noWrap w:val="0"/>
            <w:vAlign w:val="center"/>
          </w:tcPr>
          <w:p>
            <w:pPr>
              <w:spacing w:line="360" w:lineRule="auto"/>
              <w:jc w:val="center"/>
              <w:rPr>
                <w:rFonts w:ascii="宋体" w:eastAsia="宋体" w:hAnsi="宋体" w:cs="宋体" w:hint="default"/>
                <w:b/>
                <w:bCs/>
                <w:color w:val="000000"/>
                <w:sz w:val="21"/>
                <w:szCs w:val="21"/>
                <w:highlight w:val="none"/>
                <w:u w:val="double"/>
                <w:lang w:val="en-US" w:eastAsia="zh-CN"/>
              </w:rPr>
            </w:pPr>
            <w:r>
              <w:rPr>
                <w:rFonts w:ascii="宋体" w:hAnsi="宋体" w:cs="宋体" w:hint="eastAsia"/>
                <w:b/>
                <w:bCs/>
                <w:color w:val="000000"/>
                <w:sz w:val="21"/>
                <w:szCs w:val="21"/>
                <w:highlight w:val="none"/>
                <w:u w:val="double"/>
                <w:lang w:val="en-US" w:eastAsia="zh-CN"/>
              </w:rPr>
              <w:t>服务单位</w:t>
            </w:r>
            <w:r>
              <w:rPr>
                <w:rFonts w:ascii="宋体" w:eastAsia="宋体" w:hAnsi="宋体" w:cs="宋体" w:hint="eastAsia"/>
                <w:b/>
                <w:bCs/>
                <w:color w:val="000000"/>
                <w:sz w:val="21"/>
                <w:szCs w:val="21"/>
                <w:highlight w:val="none"/>
                <w:u w:val="double"/>
              </w:rPr>
              <w:t>数量</w:t>
            </w:r>
          </w:p>
        </w:tc>
        <w:tc>
          <w:tcPr>
            <w:tcW w:w="1233" w:type="dxa"/>
            <w:noWrap w:val="0"/>
            <w:vAlign w:val="center"/>
          </w:tcPr>
          <w:p>
            <w:pPr>
              <w:spacing w:line="360" w:lineRule="auto"/>
              <w:jc w:val="center"/>
              <w:rPr>
                <w:rFonts w:ascii="宋体" w:eastAsia="宋体" w:hAnsi="宋体" w:cs="宋体" w:hint="eastAsia"/>
                <w:b/>
                <w:bCs/>
                <w:color w:val="000000"/>
                <w:sz w:val="21"/>
                <w:szCs w:val="21"/>
                <w:highlight w:val="none"/>
                <w:u w:val="double"/>
              </w:rPr>
            </w:pPr>
            <w:r>
              <w:rPr>
                <w:rFonts w:ascii="宋体" w:hAnsi="宋体" w:hint="eastAsia"/>
                <w:b/>
                <w:bCs/>
                <w:szCs w:val="21"/>
                <w:u w:val="double"/>
                <w:lang w:val="en-US" w:eastAsia="zh-CN"/>
              </w:rPr>
              <w:t>摄像头数量要求</w:t>
            </w:r>
          </w:p>
        </w:tc>
        <w:tc>
          <w:tcPr>
            <w:tcW w:w="1990" w:type="dxa"/>
            <w:noWrap w:val="0"/>
            <w:vAlign w:val="center"/>
          </w:tcPr>
          <w:p>
            <w:pPr>
              <w:spacing w:line="360" w:lineRule="auto"/>
              <w:jc w:val="center"/>
              <w:rPr>
                <w:rFonts w:ascii="宋体" w:eastAsia="宋体" w:hAnsi="宋体" w:cs="宋体" w:hint="default"/>
                <w:b/>
                <w:bCs/>
                <w:color w:val="000000"/>
                <w:sz w:val="21"/>
                <w:szCs w:val="21"/>
                <w:highlight w:val="none"/>
                <w:u w:val="double"/>
                <w:lang w:val="en-US" w:eastAsia="zh-CN"/>
              </w:rPr>
            </w:pPr>
            <w:r>
              <w:rPr>
                <w:rFonts w:ascii="宋体" w:hAnsi="宋体" w:cs="宋体" w:hint="eastAsia"/>
                <w:b/>
                <w:bCs/>
                <w:color w:val="000000"/>
                <w:sz w:val="21"/>
                <w:szCs w:val="21"/>
                <w:highlight w:val="none"/>
                <w:u w:val="double"/>
                <w:lang w:val="en-US" w:eastAsia="zh-CN"/>
              </w:rPr>
              <w:t>展示屏数量要求</w:t>
            </w:r>
          </w:p>
        </w:tc>
      </w:tr>
      <w:tr>
        <w:tblPrEx>
          <w:tblW w:w="9481" w:type="dxa"/>
          <w:tblInd w:w="0" w:type="dxa"/>
          <w:tblLayout w:type="fixed"/>
          <w:tblCellMar>
            <w:top w:w="0" w:type="dxa"/>
            <w:left w:w="108" w:type="dxa"/>
            <w:bottom w:w="0" w:type="dxa"/>
            <w:right w:w="108" w:type="dxa"/>
          </w:tblCellMar>
        </w:tblPrEx>
        <w:trPr>
          <w:trHeight w:val="23"/>
        </w:trPr>
        <w:tc>
          <w:tcPr>
            <w:tcW w:w="886" w:type="dxa"/>
            <w:noWrap w:val="0"/>
            <w:vAlign w:val="center"/>
          </w:tcPr>
          <w:p>
            <w:pPr>
              <w:spacing w:line="360" w:lineRule="auto"/>
              <w:jc w:val="center"/>
              <w:rPr>
                <w:rFonts w:ascii="宋体" w:eastAsia="宋体" w:hAnsi="宋体" w:cs="宋体" w:hint="eastAsia"/>
                <w:b/>
                <w:bCs/>
                <w:color w:val="000000"/>
                <w:sz w:val="21"/>
                <w:szCs w:val="21"/>
                <w:highlight w:val="none"/>
                <w:u w:val="double"/>
              </w:rPr>
            </w:pPr>
            <w:r>
              <w:rPr>
                <w:rFonts w:ascii="宋体" w:eastAsia="宋体" w:hAnsi="宋体" w:cs="宋体" w:hint="eastAsia"/>
                <w:b/>
                <w:bCs/>
                <w:color w:val="000000"/>
                <w:sz w:val="21"/>
                <w:szCs w:val="21"/>
                <w:highlight w:val="none"/>
                <w:u w:val="double"/>
              </w:rPr>
              <w:t>1</w:t>
            </w:r>
          </w:p>
        </w:tc>
        <w:tc>
          <w:tcPr>
            <w:tcW w:w="4172" w:type="dxa"/>
            <w:noWrap w:val="0"/>
            <w:vAlign w:val="center"/>
          </w:tcPr>
          <w:p>
            <w:pPr>
              <w:spacing w:line="360" w:lineRule="auto"/>
              <w:jc w:val="center"/>
              <w:rPr>
                <w:rFonts w:ascii="宋体" w:eastAsia="宋体" w:hAnsi="宋体" w:cs="宋体" w:hint="eastAsia"/>
                <w:b/>
                <w:bCs/>
                <w:color w:val="000000"/>
                <w:sz w:val="21"/>
                <w:szCs w:val="21"/>
                <w:highlight w:val="none"/>
                <w:u w:val="double"/>
              </w:rPr>
            </w:pPr>
            <w:r>
              <w:rPr>
                <w:rFonts w:ascii="宋体" w:eastAsia="宋体" w:hAnsi="宋体" w:cs="宋体" w:hint="eastAsia"/>
                <w:b/>
                <w:bCs/>
                <w:color w:val="000000"/>
                <w:sz w:val="21"/>
                <w:szCs w:val="21"/>
                <w:highlight w:val="none"/>
                <w:u w:val="double"/>
              </w:rPr>
              <w:t>坪山区</w:t>
            </w:r>
            <w:r>
              <w:rPr>
                <w:rFonts w:ascii="宋体" w:eastAsia="宋体" w:hAnsi="宋体" w:cs="宋体" w:hint="eastAsia"/>
                <w:b/>
                <w:bCs/>
                <w:color w:val="000000"/>
                <w:sz w:val="21"/>
                <w:szCs w:val="21"/>
                <w:highlight w:val="none"/>
                <w:u w:val="double"/>
                <w:lang w:val="en-US" w:eastAsia="zh-CN"/>
              </w:rPr>
              <w:t>学校食堂等重点餐饮服务单位</w:t>
            </w:r>
          </w:p>
        </w:tc>
        <w:tc>
          <w:tcPr>
            <w:tcW w:w="1200" w:type="dxa"/>
            <w:noWrap w:val="0"/>
            <w:vAlign w:val="center"/>
          </w:tcPr>
          <w:p>
            <w:pPr>
              <w:spacing w:line="360" w:lineRule="auto"/>
              <w:jc w:val="center"/>
              <w:rPr>
                <w:rFonts w:ascii="宋体" w:eastAsia="宋体" w:hAnsi="宋体" w:cs="宋体" w:hint="default"/>
                <w:b/>
                <w:bCs/>
                <w:color w:val="000000"/>
                <w:sz w:val="21"/>
                <w:szCs w:val="21"/>
                <w:highlight w:val="none"/>
                <w:u w:val="double"/>
                <w:lang w:val="en-US" w:eastAsia="zh-CN"/>
              </w:rPr>
            </w:pPr>
            <w:r>
              <w:rPr>
                <w:rFonts w:ascii="宋体" w:eastAsia="宋体" w:hAnsi="宋体" w:cs="宋体" w:hint="eastAsia"/>
                <w:b/>
                <w:bCs/>
                <w:color w:val="000000"/>
                <w:sz w:val="21"/>
                <w:szCs w:val="21"/>
                <w:highlight w:val="none"/>
                <w:u w:val="double"/>
                <w:lang w:val="en-US" w:eastAsia="zh-CN"/>
              </w:rPr>
              <w:t>2</w:t>
            </w:r>
            <w:r>
              <w:rPr>
                <w:rFonts w:ascii="宋体" w:hAnsi="宋体" w:cs="宋体" w:hint="eastAsia"/>
                <w:b/>
                <w:bCs/>
                <w:color w:val="000000"/>
                <w:sz w:val="21"/>
                <w:szCs w:val="21"/>
                <w:highlight w:val="none"/>
                <w:u w:val="double"/>
                <w:lang w:val="en-US" w:eastAsia="zh-CN"/>
              </w:rPr>
              <w:t>25家</w:t>
            </w:r>
          </w:p>
        </w:tc>
        <w:tc>
          <w:tcPr>
            <w:tcW w:w="1233" w:type="dxa"/>
            <w:noWrap w:val="0"/>
            <w:vAlign w:val="center"/>
          </w:tcPr>
          <w:p>
            <w:pPr>
              <w:spacing w:line="360" w:lineRule="auto"/>
              <w:jc w:val="center"/>
              <w:rPr>
                <w:rFonts w:ascii="宋体" w:eastAsia="宋体" w:hAnsi="宋体" w:cs="宋体" w:hint="eastAsia"/>
                <w:b/>
                <w:bCs/>
                <w:color w:val="000000"/>
                <w:sz w:val="21"/>
                <w:szCs w:val="21"/>
                <w:highlight w:val="none"/>
                <w:u w:val="double"/>
                <w:lang w:eastAsia="zh-CN"/>
              </w:rPr>
            </w:pPr>
            <w:r>
              <w:rPr>
                <w:rFonts w:ascii="宋体" w:hAnsi="宋体" w:hint="eastAsia"/>
                <w:b/>
                <w:bCs/>
                <w:szCs w:val="21"/>
                <w:u w:val="double"/>
                <w:lang w:val="en-US" w:eastAsia="zh-CN"/>
              </w:rPr>
              <w:t>5个/家</w:t>
            </w:r>
          </w:p>
        </w:tc>
        <w:tc>
          <w:tcPr>
            <w:tcW w:w="1990" w:type="dxa"/>
            <w:noWrap w:val="0"/>
            <w:vAlign w:val="center"/>
          </w:tcPr>
          <w:p>
            <w:pPr>
              <w:spacing w:line="360" w:lineRule="auto"/>
              <w:jc w:val="center"/>
              <w:rPr>
                <w:rFonts w:ascii="宋体" w:eastAsia="宋体" w:hAnsi="宋体" w:cs="宋体" w:hint="default"/>
                <w:b/>
                <w:bCs/>
                <w:color w:val="000000"/>
                <w:sz w:val="21"/>
                <w:szCs w:val="21"/>
                <w:highlight w:val="none"/>
                <w:u w:val="double"/>
                <w:lang w:val="en-US" w:eastAsia="zh-CN"/>
              </w:rPr>
            </w:pPr>
            <w:r>
              <w:rPr>
                <w:rFonts w:ascii="宋体" w:eastAsia="宋体" w:hAnsi="宋体" w:cs="宋体" w:hint="eastAsia"/>
                <w:b/>
                <w:bCs/>
                <w:color w:val="000000"/>
                <w:sz w:val="21"/>
                <w:szCs w:val="21"/>
                <w:highlight w:val="none"/>
                <w:u w:val="double"/>
              </w:rPr>
              <w:t>配备一台</w:t>
            </w:r>
            <w:r>
              <w:rPr>
                <w:rFonts w:ascii="宋体" w:hAnsi="宋体" w:hint="eastAsia"/>
                <w:b/>
                <w:bCs/>
                <w:szCs w:val="21"/>
                <w:u w:val="double"/>
              </w:rPr>
              <w:t>高清、42 寸</w:t>
            </w:r>
            <w:r>
              <w:rPr>
                <w:rFonts w:ascii="宋体" w:hAnsi="宋体" w:hint="eastAsia"/>
                <w:b/>
                <w:bCs/>
                <w:szCs w:val="21"/>
                <w:u w:val="double"/>
                <w:lang w:val="en-US" w:eastAsia="zh-CN"/>
              </w:rPr>
              <w:t>或</w:t>
            </w:r>
            <w:r>
              <w:rPr>
                <w:rFonts w:ascii="宋体" w:hAnsi="宋体" w:hint="eastAsia"/>
                <w:b/>
                <w:bCs/>
                <w:szCs w:val="21"/>
                <w:u w:val="double"/>
              </w:rPr>
              <w:t>以上</w:t>
            </w:r>
            <w:r>
              <w:rPr>
                <w:rFonts w:ascii="宋体" w:hAnsi="宋体" w:cs="宋体" w:hint="eastAsia"/>
                <w:b/>
                <w:bCs/>
                <w:color w:val="000000"/>
                <w:sz w:val="21"/>
                <w:szCs w:val="21"/>
                <w:highlight w:val="none"/>
                <w:u w:val="double"/>
                <w:lang w:val="en-US" w:eastAsia="zh-CN"/>
              </w:rPr>
              <w:t>的</w:t>
            </w:r>
            <w:r>
              <w:rPr>
                <w:rFonts w:ascii="宋体" w:eastAsia="宋体" w:hAnsi="宋体" w:cs="宋体" w:hint="eastAsia"/>
                <w:b/>
                <w:bCs/>
                <w:color w:val="000000"/>
                <w:sz w:val="21"/>
                <w:szCs w:val="21"/>
                <w:highlight w:val="none"/>
                <w:u w:val="double"/>
              </w:rPr>
              <w:t>展示屏</w:t>
            </w:r>
          </w:p>
        </w:tc>
      </w:tr>
      <w:tr>
        <w:tblPrEx>
          <w:tblW w:w="9481" w:type="dxa"/>
          <w:tblInd w:w="0" w:type="dxa"/>
          <w:tblLayout w:type="fixed"/>
          <w:tblCellMar>
            <w:top w:w="0" w:type="dxa"/>
            <w:left w:w="108" w:type="dxa"/>
            <w:bottom w:w="0" w:type="dxa"/>
            <w:right w:w="108" w:type="dxa"/>
          </w:tblCellMar>
        </w:tblPrEx>
        <w:trPr>
          <w:trHeight w:val="23"/>
        </w:trPr>
        <w:tc>
          <w:tcPr>
            <w:tcW w:w="886" w:type="dxa"/>
            <w:noWrap w:val="0"/>
            <w:vAlign w:val="center"/>
          </w:tcPr>
          <w:p>
            <w:pPr>
              <w:spacing w:line="360" w:lineRule="auto"/>
              <w:jc w:val="center"/>
              <w:rPr>
                <w:rFonts w:ascii="宋体" w:eastAsia="宋体" w:hAnsi="宋体" w:cs="宋体" w:hint="eastAsia"/>
                <w:b/>
                <w:bCs/>
                <w:color w:val="000000"/>
                <w:sz w:val="21"/>
                <w:szCs w:val="21"/>
                <w:highlight w:val="none"/>
                <w:u w:val="double"/>
              </w:rPr>
            </w:pPr>
            <w:r>
              <w:rPr>
                <w:rFonts w:ascii="宋体" w:eastAsia="宋体" w:hAnsi="宋体" w:cs="宋体" w:hint="eastAsia"/>
                <w:b/>
                <w:bCs/>
                <w:color w:val="000000"/>
                <w:sz w:val="21"/>
                <w:szCs w:val="21"/>
                <w:highlight w:val="none"/>
                <w:u w:val="double"/>
              </w:rPr>
              <w:t>2</w:t>
            </w:r>
          </w:p>
        </w:tc>
        <w:tc>
          <w:tcPr>
            <w:tcW w:w="4172" w:type="dxa"/>
            <w:noWrap w:val="0"/>
            <w:vAlign w:val="center"/>
          </w:tcPr>
          <w:p>
            <w:pPr>
              <w:spacing w:line="360" w:lineRule="auto"/>
              <w:jc w:val="center"/>
              <w:rPr>
                <w:rFonts w:ascii="宋体" w:eastAsia="宋体" w:hAnsi="宋体" w:cs="宋体" w:hint="eastAsia"/>
                <w:b/>
                <w:bCs/>
                <w:color w:val="000000"/>
                <w:sz w:val="21"/>
                <w:szCs w:val="21"/>
                <w:highlight w:val="none"/>
                <w:u w:val="double"/>
                <w:lang w:val="en-US" w:eastAsia="zh-CN"/>
              </w:rPr>
            </w:pPr>
            <w:r>
              <w:rPr>
                <w:rFonts w:ascii="宋体" w:hAnsi="宋体" w:cs="宋体" w:hint="eastAsia"/>
                <w:b/>
                <w:bCs/>
                <w:color w:val="000000"/>
                <w:sz w:val="21"/>
                <w:szCs w:val="21"/>
                <w:highlight w:val="none"/>
                <w:u w:val="double"/>
                <w:lang w:val="en-US" w:eastAsia="zh-CN"/>
              </w:rPr>
              <w:t>坪山区</w:t>
            </w:r>
            <w:r>
              <w:rPr>
                <w:rFonts w:ascii="宋体" w:eastAsia="宋体" w:hAnsi="宋体" w:cs="宋体" w:hint="eastAsia"/>
                <w:b/>
                <w:bCs/>
                <w:color w:val="000000"/>
                <w:sz w:val="21"/>
                <w:szCs w:val="21"/>
                <w:highlight w:val="none"/>
                <w:u w:val="double"/>
              </w:rPr>
              <w:t>经营面积超过200平方米的社会餐饮服务单位、园区食堂</w:t>
            </w:r>
          </w:p>
        </w:tc>
        <w:tc>
          <w:tcPr>
            <w:tcW w:w="1200" w:type="dxa"/>
            <w:noWrap w:val="0"/>
            <w:vAlign w:val="center"/>
          </w:tcPr>
          <w:p>
            <w:pPr>
              <w:spacing w:line="360" w:lineRule="auto"/>
              <w:jc w:val="center"/>
              <w:rPr>
                <w:rFonts w:ascii="宋体" w:eastAsia="宋体" w:hAnsi="宋体" w:cs="宋体" w:hint="default"/>
                <w:b/>
                <w:bCs/>
                <w:color w:val="000000"/>
                <w:sz w:val="21"/>
                <w:szCs w:val="21"/>
                <w:highlight w:val="none"/>
                <w:u w:val="double"/>
                <w:lang w:val="en-US" w:eastAsia="zh-CN"/>
              </w:rPr>
            </w:pPr>
            <w:r>
              <w:rPr>
                <w:rFonts w:ascii="宋体" w:hAnsi="宋体" w:cs="宋体" w:hint="eastAsia"/>
                <w:b/>
                <w:bCs/>
                <w:color w:val="000000"/>
                <w:sz w:val="21"/>
                <w:szCs w:val="21"/>
                <w:highlight w:val="none"/>
                <w:u w:val="double"/>
                <w:lang w:val="en-US" w:eastAsia="zh-CN"/>
              </w:rPr>
              <w:t>175家</w:t>
            </w:r>
          </w:p>
        </w:tc>
        <w:tc>
          <w:tcPr>
            <w:tcW w:w="1233" w:type="dxa"/>
            <w:noWrap w:val="0"/>
            <w:vAlign w:val="center"/>
          </w:tcPr>
          <w:p>
            <w:pPr>
              <w:spacing w:line="360" w:lineRule="auto"/>
              <w:jc w:val="center"/>
              <w:rPr>
                <w:rFonts w:ascii="宋体" w:eastAsia="宋体" w:hAnsi="宋体" w:cs="宋体" w:hint="eastAsia"/>
                <w:b/>
                <w:bCs/>
                <w:color w:val="000000"/>
                <w:sz w:val="21"/>
                <w:szCs w:val="21"/>
                <w:highlight w:val="none"/>
                <w:u w:val="double"/>
                <w:lang w:eastAsia="zh-CN"/>
              </w:rPr>
            </w:pPr>
            <w:r>
              <w:rPr>
                <w:rFonts w:ascii="宋体" w:hAnsi="宋体" w:hint="eastAsia"/>
                <w:b/>
                <w:bCs/>
                <w:szCs w:val="21"/>
                <w:u w:val="double"/>
                <w:lang w:val="en-US" w:eastAsia="zh-CN"/>
              </w:rPr>
              <w:t>5个/家</w:t>
            </w:r>
          </w:p>
        </w:tc>
        <w:tc>
          <w:tcPr>
            <w:tcW w:w="1990" w:type="dxa"/>
            <w:noWrap w:val="0"/>
            <w:vAlign w:val="center"/>
          </w:tcPr>
          <w:p>
            <w:pPr>
              <w:spacing w:line="360" w:lineRule="auto"/>
              <w:jc w:val="center"/>
              <w:rPr>
                <w:rFonts w:ascii="宋体" w:eastAsia="宋体" w:hAnsi="宋体" w:cs="宋体" w:hint="default"/>
                <w:b/>
                <w:bCs/>
                <w:color w:val="000000"/>
                <w:sz w:val="21"/>
                <w:szCs w:val="21"/>
                <w:highlight w:val="none"/>
                <w:u w:val="double"/>
                <w:lang w:val="en-US" w:eastAsia="zh-CN"/>
              </w:rPr>
            </w:pPr>
            <w:r>
              <w:rPr>
                <w:rFonts w:ascii="宋体" w:hAnsi="宋体" w:cs="宋体" w:hint="eastAsia"/>
                <w:b/>
                <w:bCs/>
                <w:color w:val="000000"/>
                <w:sz w:val="21"/>
                <w:szCs w:val="21"/>
                <w:highlight w:val="none"/>
                <w:u w:val="double"/>
                <w:lang w:val="en-US" w:eastAsia="zh-CN"/>
              </w:rPr>
              <w:t>无</w:t>
            </w:r>
          </w:p>
        </w:tc>
      </w:tr>
      <w:tr>
        <w:tblPrEx>
          <w:tblW w:w="9481" w:type="dxa"/>
          <w:tblInd w:w="0" w:type="dxa"/>
          <w:tblLayout w:type="fixed"/>
          <w:tblCellMar>
            <w:top w:w="0" w:type="dxa"/>
            <w:left w:w="108" w:type="dxa"/>
            <w:bottom w:w="0" w:type="dxa"/>
            <w:right w:w="108" w:type="dxa"/>
          </w:tblCellMar>
        </w:tblPrEx>
        <w:trPr>
          <w:trHeight w:val="23"/>
        </w:trPr>
        <w:tc>
          <w:tcPr>
            <w:tcW w:w="886" w:type="dxa"/>
            <w:noWrap w:val="0"/>
            <w:vAlign w:val="center"/>
          </w:tcPr>
          <w:p>
            <w:pPr>
              <w:spacing w:line="360" w:lineRule="auto"/>
              <w:jc w:val="center"/>
              <w:rPr>
                <w:rFonts w:ascii="宋体" w:eastAsia="宋体" w:hAnsi="宋体" w:cs="宋体" w:hint="eastAsia"/>
                <w:b/>
                <w:bCs/>
                <w:color w:val="000000"/>
                <w:sz w:val="21"/>
                <w:szCs w:val="21"/>
                <w:highlight w:val="none"/>
                <w:u w:val="double"/>
                <w:lang w:val="en-US" w:eastAsia="zh-CN"/>
              </w:rPr>
            </w:pPr>
            <w:r>
              <w:rPr>
                <w:rFonts w:ascii="宋体" w:hAnsi="宋体" w:cs="宋体" w:hint="eastAsia"/>
                <w:b/>
                <w:bCs/>
                <w:color w:val="000000"/>
                <w:sz w:val="21"/>
                <w:szCs w:val="21"/>
                <w:highlight w:val="none"/>
                <w:u w:val="double"/>
                <w:lang w:val="en-US" w:eastAsia="zh-CN"/>
              </w:rPr>
              <w:t>3</w:t>
            </w:r>
          </w:p>
        </w:tc>
        <w:tc>
          <w:tcPr>
            <w:tcW w:w="4172" w:type="dxa"/>
            <w:noWrap w:val="0"/>
            <w:vAlign w:val="center"/>
          </w:tcPr>
          <w:p>
            <w:pPr>
              <w:spacing w:line="360" w:lineRule="auto"/>
              <w:jc w:val="center"/>
              <w:rPr>
                <w:rFonts w:ascii="宋体" w:eastAsia="宋体" w:hAnsi="宋体" w:cs="宋体" w:hint="default"/>
                <w:b/>
                <w:bCs/>
                <w:color w:val="000000"/>
                <w:sz w:val="21"/>
                <w:szCs w:val="21"/>
                <w:highlight w:val="none"/>
                <w:u w:val="double"/>
                <w:lang w:val="en-US" w:eastAsia="zh-CN"/>
              </w:rPr>
            </w:pPr>
            <w:r>
              <w:rPr>
                <w:rFonts w:ascii="宋体" w:hAnsi="宋体" w:cs="宋体" w:hint="eastAsia"/>
                <w:b/>
                <w:bCs/>
                <w:color w:val="000000"/>
                <w:sz w:val="21"/>
                <w:szCs w:val="21"/>
                <w:highlight w:val="none"/>
                <w:u w:val="double"/>
                <w:lang w:val="en-US" w:eastAsia="zh-CN"/>
              </w:rPr>
              <w:t>坪山区</w:t>
            </w:r>
            <w:r>
              <w:rPr>
                <w:rFonts w:ascii="宋体" w:eastAsia="宋体" w:hAnsi="宋体" w:cs="宋体" w:hint="eastAsia"/>
                <w:b/>
                <w:bCs/>
                <w:color w:val="000000"/>
                <w:sz w:val="21"/>
                <w:szCs w:val="21"/>
                <w:highlight w:val="none"/>
                <w:u w:val="double"/>
              </w:rPr>
              <w:t>网络餐饮</w:t>
            </w:r>
            <w:r>
              <w:rPr>
                <w:rFonts w:ascii="宋体" w:hAnsi="宋体" w:cs="宋体" w:hint="eastAsia"/>
                <w:b/>
                <w:bCs/>
                <w:color w:val="000000"/>
                <w:sz w:val="21"/>
                <w:szCs w:val="21"/>
                <w:highlight w:val="none"/>
                <w:u w:val="double"/>
                <w:lang w:val="en-US" w:eastAsia="zh-CN"/>
              </w:rPr>
              <w:t>服务单位</w:t>
            </w:r>
          </w:p>
        </w:tc>
        <w:tc>
          <w:tcPr>
            <w:tcW w:w="1200" w:type="dxa"/>
            <w:noWrap w:val="0"/>
            <w:vAlign w:val="center"/>
          </w:tcPr>
          <w:p>
            <w:pPr>
              <w:spacing w:line="360" w:lineRule="auto"/>
              <w:jc w:val="center"/>
              <w:rPr>
                <w:rFonts w:ascii="宋体" w:eastAsia="宋体" w:hAnsi="宋体" w:cs="宋体" w:hint="default"/>
                <w:b/>
                <w:bCs/>
                <w:color w:val="000000"/>
                <w:sz w:val="21"/>
                <w:szCs w:val="21"/>
                <w:highlight w:val="none"/>
                <w:u w:val="double"/>
                <w:lang w:val="en-US" w:eastAsia="zh-CN"/>
              </w:rPr>
            </w:pPr>
            <w:r>
              <w:rPr>
                <w:rFonts w:ascii="宋体" w:hAnsi="宋体" w:cs="宋体" w:hint="eastAsia"/>
                <w:b/>
                <w:bCs/>
                <w:color w:val="000000"/>
                <w:sz w:val="21"/>
                <w:szCs w:val="21"/>
                <w:highlight w:val="none"/>
                <w:u w:val="double"/>
                <w:lang w:val="en-US" w:eastAsia="zh-CN"/>
              </w:rPr>
              <w:t>100家</w:t>
            </w:r>
          </w:p>
        </w:tc>
        <w:tc>
          <w:tcPr>
            <w:tcW w:w="1233" w:type="dxa"/>
            <w:noWrap w:val="0"/>
            <w:vAlign w:val="center"/>
          </w:tcPr>
          <w:p>
            <w:pPr>
              <w:spacing w:line="360" w:lineRule="auto"/>
              <w:jc w:val="center"/>
              <w:rPr>
                <w:rFonts w:ascii="宋体" w:hAnsi="宋体" w:hint="eastAsia"/>
                <w:b/>
                <w:bCs/>
                <w:szCs w:val="21"/>
                <w:u w:val="double"/>
                <w:lang w:val="en-US" w:eastAsia="zh-CN"/>
              </w:rPr>
            </w:pPr>
            <w:r>
              <w:rPr>
                <w:rFonts w:ascii="宋体" w:hAnsi="宋体" w:hint="eastAsia"/>
                <w:b/>
                <w:bCs/>
                <w:szCs w:val="21"/>
                <w:u w:val="double"/>
                <w:lang w:val="en-US" w:eastAsia="zh-CN"/>
              </w:rPr>
              <w:t>1个/家</w:t>
            </w:r>
          </w:p>
        </w:tc>
        <w:tc>
          <w:tcPr>
            <w:tcW w:w="1990" w:type="dxa"/>
            <w:noWrap w:val="0"/>
            <w:vAlign w:val="center"/>
          </w:tcPr>
          <w:p>
            <w:pPr>
              <w:spacing w:line="360" w:lineRule="auto"/>
              <w:jc w:val="center"/>
              <w:rPr>
                <w:rFonts w:ascii="宋体" w:hAnsi="宋体" w:cs="宋体" w:hint="default"/>
                <w:b/>
                <w:bCs/>
                <w:color w:val="000000"/>
                <w:sz w:val="21"/>
                <w:szCs w:val="21"/>
                <w:highlight w:val="none"/>
                <w:u w:val="double"/>
                <w:lang w:val="en-US" w:eastAsia="zh-CN"/>
              </w:rPr>
            </w:pPr>
            <w:r>
              <w:rPr>
                <w:rFonts w:ascii="宋体" w:hAnsi="宋体" w:cs="宋体" w:hint="eastAsia"/>
                <w:b/>
                <w:bCs/>
                <w:color w:val="000000"/>
                <w:sz w:val="21"/>
                <w:szCs w:val="21"/>
                <w:highlight w:val="none"/>
                <w:u w:val="double"/>
                <w:lang w:val="en-US" w:eastAsia="zh-CN"/>
              </w:rPr>
              <w:t>无</w:t>
            </w:r>
          </w:p>
        </w:tc>
      </w:tr>
      <w:tr>
        <w:tblPrEx>
          <w:tblW w:w="9481" w:type="dxa"/>
          <w:tblInd w:w="0" w:type="dxa"/>
          <w:tblLayout w:type="fixed"/>
          <w:tblCellMar>
            <w:top w:w="0" w:type="dxa"/>
            <w:left w:w="108" w:type="dxa"/>
            <w:bottom w:w="0" w:type="dxa"/>
            <w:right w:w="108" w:type="dxa"/>
          </w:tblCellMar>
        </w:tblPrEx>
        <w:trPr>
          <w:trHeight w:val="23"/>
        </w:trPr>
        <w:tc>
          <w:tcPr>
            <w:tcW w:w="9481" w:type="dxa"/>
            <w:gridSpan w:val="5"/>
            <w:noWrap w:val="0"/>
            <w:vAlign w:val="center"/>
          </w:tcPr>
          <w:p>
            <w:pPr>
              <w:spacing w:line="360" w:lineRule="auto"/>
              <w:jc w:val="center"/>
              <w:rPr>
                <w:rFonts w:ascii="宋体" w:eastAsia="宋体" w:hAnsi="宋体" w:cs="宋体" w:hint="eastAsia"/>
                <w:b/>
                <w:bCs/>
                <w:color w:val="000000"/>
                <w:sz w:val="21"/>
                <w:szCs w:val="21"/>
                <w:highlight w:val="none"/>
                <w:u w:val="double"/>
              </w:rPr>
            </w:pPr>
            <w:r>
              <w:rPr>
                <w:rFonts w:ascii="宋体" w:eastAsia="宋体" w:hAnsi="宋体" w:cs="宋体" w:hint="eastAsia"/>
                <w:b/>
                <w:bCs/>
                <w:color w:val="000000"/>
                <w:sz w:val="21"/>
                <w:szCs w:val="21"/>
                <w:highlight w:val="none"/>
                <w:u w:val="double"/>
              </w:rPr>
              <w:t>项目预算合计：</w:t>
            </w:r>
            <w:r>
              <w:rPr>
                <w:rFonts w:ascii="宋体" w:eastAsia="宋体" w:hAnsi="宋体" w:cs="宋体" w:hint="eastAsia"/>
                <w:b/>
                <w:bCs/>
                <w:sz w:val="21"/>
                <w:szCs w:val="21"/>
                <w:highlight w:val="none"/>
                <w:u w:val="double"/>
                <w:shd w:val="clear" w:color="auto" w:fill="FFFFFF"/>
                <w:lang w:val="en-US" w:eastAsia="zh-CN"/>
              </w:rPr>
              <w:t>1,856,000.00</w:t>
            </w:r>
            <w:r>
              <w:rPr>
                <w:rFonts w:ascii="宋体" w:eastAsia="宋体" w:hAnsi="宋体" w:cs="宋体" w:hint="eastAsia"/>
                <w:b/>
                <w:bCs/>
                <w:color w:val="000000"/>
                <w:sz w:val="21"/>
                <w:szCs w:val="21"/>
                <w:highlight w:val="none"/>
                <w:u w:val="double"/>
              </w:rPr>
              <w:t>元（大写</w:t>
            </w:r>
            <w:r>
              <w:rPr>
                <w:rFonts w:ascii="宋体" w:eastAsia="宋体" w:hAnsi="宋体" w:cs="宋体" w:hint="eastAsia"/>
                <w:b/>
                <w:bCs/>
                <w:color w:val="000000"/>
                <w:sz w:val="21"/>
                <w:szCs w:val="21"/>
                <w:highlight w:val="none"/>
                <w:u w:val="double"/>
                <w:lang w:val="en-US" w:eastAsia="zh-CN"/>
              </w:rPr>
              <w:t>壹</w:t>
            </w:r>
            <w:r>
              <w:rPr>
                <w:rFonts w:ascii="宋体" w:eastAsia="宋体" w:hAnsi="宋体" w:cs="宋体" w:hint="eastAsia"/>
                <w:b/>
                <w:bCs/>
                <w:color w:val="000000"/>
                <w:sz w:val="21"/>
                <w:szCs w:val="21"/>
                <w:highlight w:val="none"/>
                <w:u w:val="double"/>
              </w:rPr>
              <w:t>佰</w:t>
            </w:r>
            <w:r>
              <w:rPr>
                <w:rFonts w:ascii="宋体" w:eastAsia="宋体" w:hAnsi="宋体" w:cs="宋体" w:hint="eastAsia"/>
                <w:b/>
                <w:bCs/>
                <w:color w:val="000000"/>
                <w:sz w:val="21"/>
                <w:szCs w:val="21"/>
                <w:highlight w:val="none"/>
                <w:u w:val="double"/>
                <w:lang w:val="en-US" w:eastAsia="zh-CN"/>
              </w:rPr>
              <w:t>捌</w:t>
            </w:r>
            <w:r>
              <w:rPr>
                <w:rFonts w:ascii="宋体" w:eastAsia="宋体" w:hAnsi="宋体" w:cs="宋体" w:hint="eastAsia"/>
                <w:b/>
                <w:bCs/>
                <w:color w:val="000000"/>
                <w:sz w:val="21"/>
                <w:szCs w:val="21"/>
                <w:highlight w:val="none"/>
                <w:u w:val="double"/>
              </w:rPr>
              <w:t>拾</w:t>
            </w:r>
            <w:r>
              <w:rPr>
                <w:rFonts w:ascii="宋体" w:eastAsia="宋体" w:hAnsi="宋体" w:cs="宋体" w:hint="eastAsia"/>
                <w:b/>
                <w:bCs/>
                <w:color w:val="000000"/>
                <w:sz w:val="21"/>
                <w:szCs w:val="21"/>
                <w:highlight w:val="none"/>
                <w:u w:val="double"/>
                <w:lang w:val="en-US" w:eastAsia="zh-CN"/>
              </w:rPr>
              <w:t>伍</w:t>
            </w:r>
            <w:r>
              <w:rPr>
                <w:rFonts w:ascii="宋体" w:eastAsia="宋体" w:hAnsi="宋体" w:cs="宋体" w:hint="eastAsia"/>
                <w:b/>
                <w:bCs/>
                <w:color w:val="000000"/>
                <w:sz w:val="21"/>
                <w:szCs w:val="21"/>
                <w:highlight w:val="none"/>
                <w:u w:val="double"/>
              </w:rPr>
              <w:t>万</w:t>
            </w:r>
            <w:r>
              <w:rPr>
                <w:rFonts w:ascii="宋体" w:eastAsia="宋体" w:hAnsi="宋体" w:cs="宋体" w:hint="eastAsia"/>
                <w:b/>
                <w:bCs/>
                <w:color w:val="000000"/>
                <w:sz w:val="21"/>
                <w:szCs w:val="21"/>
                <w:highlight w:val="none"/>
                <w:u w:val="double"/>
                <w:lang w:val="en-US" w:eastAsia="zh-CN"/>
              </w:rPr>
              <w:t>陆</w:t>
            </w:r>
            <w:r>
              <w:rPr>
                <w:rFonts w:ascii="宋体" w:eastAsia="宋体" w:hAnsi="宋体" w:cs="宋体" w:hint="eastAsia"/>
                <w:b/>
                <w:bCs/>
                <w:color w:val="000000"/>
                <w:sz w:val="21"/>
                <w:szCs w:val="21"/>
                <w:highlight w:val="none"/>
                <w:u w:val="double"/>
              </w:rPr>
              <w:t>仟元整）</w:t>
            </w:r>
          </w:p>
        </w:tc>
      </w:tr>
    </w:tbl>
    <w:p>
      <w:pPr>
        <w:pStyle w:val="BodyText"/>
        <w:ind w:right="-386" w:firstLine="420" w:rightChars="-184" w:firstLineChars="200"/>
        <w:rPr>
          <w:rFonts w:ascii="宋体" w:eastAsia="宋体" w:hAnsi="宋体" w:cs="宋体" w:hint="eastAsia"/>
          <w:b/>
          <w:bCs/>
          <w:color w:val="000000"/>
          <w:kern w:val="2"/>
          <w:sz w:val="21"/>
          <w:szCs w:val="21"/>
          <w:highlight w:val="none"/>
          <w:u w:val="double"/>
          <w:lang w:val="en-US" w:eastAsia="zh-CN" w:bidi="ar-SA"/>
        </w:rPr>
      </w:pPr>
      <w:r>
        <w:rPr>
          <w:rFonts w:ascii="宋体" w:eastAsia="宋体" w:hAnsi="宋体" w:cs="宋体" w:hint="eastAsia"/>
          <w:b/>
          <w:bCs/>
          <w:color w:val="000000"/>
          <w:kern w:val="2"/>
          <w:sz w:val="21"/>
          <w:szCs w:val="21"/>
          <w:highlight w:val="none"/>
          <w:u w:val="double"/>
          <w:lang w:val="en-US" w:eastAsia="zh-CN" w:bidi="ar-SA"/>
        </w:rPr>
        <w:t>注：如因餐饮服务单位实际情况导致安装的摄像头或显示屏数量无法满足要求时，可调整餐饮服务单位摄像头、显示屏的安装数量，但需满足重点餐饮服务单位不少于225家，200平方米或以上社会餐饮服务及园区食堂不少于175家，网络餐饮服务单位不少于100家，总摄像头数量不少于2100个，展示屏数不少于225台。</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4.</w:t>
      </w:r>
      <w:r>
        <w:rPr>
          <w:rFonts w:ascii="宋体" w:hAnsi="宋体" w:hint="eastAsia"/>
          <w:b/>
          <w:bCs/>
          <w:szCs w:val="21"/>
        </w:rPr>
        <w:t>项目采购范围</w:t>
      </w:r>
    </w:p>
    <w:p>
      <w:pPr>
        <w:spacing w:line="360" w:lineRule="auto"/>
        <w:ind w:firstLine="420" w:firstLineChars="200"/>
        <w:jc w:val="left"/>
        <w:rPr>
          <w:rFonts w:ascii="宋体" w:hAnsi="宋体" w:hint="eastAsia"/>
          <w:szCs w:val="21"/>
          <w:lang w:eastAsia="zh-CN"/>
        </w:rPr>
      </w:pPr>
      <w:r>
        <w:rPr>
          <w:rFonts w:asciiTheme="minorEastAsia" w:eastAsiaTheme="minorEastAsia" w:hAnsiTheme="minorEastAsia" w:hint="eastAsia"/>
          <w:b/>
          <w:bCs w:val="0"/>
          <w:kern w:val="44"/>
          <w:szCs w:val="21"/>
          <w:u w:val="double"/>
        </w:rPr>
        <w:t>（1）中标单位需对深圳市市场监督管理局坪山监管局提供本辖区225家学校食堂等重点餐饮服务单位、175家坪山区经营面积超过200平方米的社会餐饮服务单位、园区食堂和100家坪山区网络餐饮服务单位（共计500家）的“互联网+明厨亮灶”提供视频数据运营（运维）服务，其中坪山区学校食堂等重点餐饮服务单位应覆盖粗加工区、烹饪区、洗消区、专间及面点区（可结合场所实际情况调整），摄像头5个/家，并配备一台高清、42 寸或以上的展示屏；坪山区经营面积超过200平方米的社会餐饮服务单位，应覆盖粗加工区、烹饪区、洗消区、专间及面点区（可结合场所实际情况调整），摄像头5个/家，无展示屏数量要求；坪山区网络餐饮服务单位在主要加工区配置摄像头1个/家，无展示屏数量要求。如因餐饮服务单位实际情况导致安装的摄像头或显示屏数量无法满足要求时，可调整餐饮服务单位摄像头、显示屏的安装数量，但需满足重点餐饮服务单位不少于225家，200平</w:t>
      </w:r>
      <w:r>
        <w:rPr>
          <w:rFonts w:asciiTheme="minorEastAsia" w:eastAsiaTheme="minorEastAsia" w:hAnsiTheme="minorEastAsia" w:hint="eastAsia"/>
          <w:b/>
          <w:bCs w:val="0"/>
          <w:kern w:val="44"/>
          <w:szCs w:val="21"/>
          <w:u w:val="double"/>
          <w:lang w:val="en-US" w:eastAsia="zh-CN"/>
        </w:rPr>
        <w:t>方米或</w:t>
      </w:r>
      <w:r>
        <w:rPr>
          <w:rFonts w:asciiTheme="minorEastAsia" w:eastAsiaTheme="minorEastAsia" w:hAnsiTheme="minorEastAsia" w:hint="eastAsia"/>
          <w:b/>
          <w:bCs w:val="0"/>
          <w:kern w:val="44"/>
          <w:szCs w:val="21"/>
          <w:u w:val="double"/>
        </w:rPr>
        <w:t>以上社会餐饮服务及园区食堂不少于175家，网络餐饮服务单位不少于100家，总摄像头数量不少于2100个，展示屏数不少于225台。以上500家餐饮单位、学校食堂、园区食堂均须提供分布式的视频存储、视频编解码、视频汇集、历史图像查阅和视频共享服务。</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2</w:t>
      </w:r>
      <w:r>
        <w:rPr>
          <w:rFonts w:ascii="宋体" w:hAnsi="宋体" w:hint="eastAsia"/>
          <w:szCs w:val="21"/>
          <w:lang w:eastAsia="zh-CN"/>
        </w:rPr>
        <w:t>）</w:t>
      </w:r>
      <w:r>
        <w:rPr>
          <w:rFonts w:ascii="宋体" w:hAnsi="宋体" w:hint="eastAsia"/>
          <w:szCs w:val="21"/>
        </w:rPr>
        <w:t>中标单位提供“互联网+明厨亮灶”视频监管服务的网络型摄像头要求，有效像素不低于200万、双码流、清晰度不低于1080P，整体达到IP66</w:t>
      </w:r>
      <w:r>
        <w:rPr>
          <w:rFonts w:hint="eastAsia"/>
          <w:lang w:val="en-US" w:eastAsia="zh-CN"/>
        </w:rPr>
        <w:t>或以上</w:t>
      </w:r>
      <w:r>
        <w:rPr>
          <w:rFonts w:ascii="宋体" w:hAnsi="宋体" w:hint="eastAsia"/>
          <w:szCs w:val="21"/>
        </w:rPr>
        <w:t>防护等级，带红外夜视，照度20米以上，支持POE供电及独立供电。</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3</w:t>
      </w:r>
      <w:r>
        <w:rPr>
          <w:rFonts w:ascii="宋体" w:hAnsi="宋体" w:hint="eastAsia"/>
          <w:szCs w:val="21"/>
          <w:lang w:eastAsia="zh-CN"/>
        </w:rPr>
        <w:t>）</w:t>
      </w:r>
      <w:r>
        <w:rPr>
          <w:rFonts w:ascii="宋体" w:hAnsi="宋体" w:hint="eastAsia"/>
          <w:szCs w:val="21"/>
        </w:rPr>
        <w:t>中标单位提供分布式视频存储、视频编解码、视频汇集、历史图像查阅和视频共享监管服务的视频网关（以下简称视频网关），需支持至少多路视频流转码，并且满足8路视频网关设备自带不少于2TB的存储介质，可存储720P、1080P等分辨率图像，存储时间不少于15天。所有视频网关必须直接将采集到的视频数据接入到“深圳市阳光智慧餐饮监管与信息公示系统”的明厨亮灶视频汇集管控子系统。视频网关支持远程调用历史数据、双码流、自动升级、自动守护、时间校验等集中控制管理功能。</w:t>
      </w:r>
    </w:p>
    <w:p>
      <w:pPr>
        <w:keepNext/>
        <w:keepLines/>
        <w:spacing w:line="360" w:lineRule="auto"/>
        <w:ind w:firstLine="420" w:firstLineChars="200"/>
        <w:jc w:val="left"/>
        <w:outlineLvl w:val="0"/>
        <w:rPr>
          <w:rFonts w:asciiTheme="minorEastAsia" w:eastAsiaTheme="minorEastAsia" w:hAnsiTheme="minorEastAsia" w:hint="eastAsia"/>
          <w:b/>
          <w:bCs w:val="0"/>
          <w:kern w:val="44"/>
          <w:szCs w:val="21"/>
          <w:u w:val="double"/>
        </w:rPr>
      </w:pPr>
      <w:r>
        <w:rPr>
          <w:rFonts w:asciiTheme="minorEastAsia" w:eastAsiaTheme="minorEastAsia" w:hAnsiTheme="minorEastAsia" w:hint="eastAsia"/>
          <w:b/>
          <w:bCs w:val="0"/>
          <w:kern w:val="44"/>
          <w:szCs w:val="21"/>
          <w:u w:val="double"/>
        </w:rPr>
        <w:t>（4）中标单位需对深圳市市场监督管理局坪山监管局225家学校食堂等重点餐饮服务单位提供AI预警、AI抓拍功能。抓拍内容：鼠患识别、未规范佩戴口罩、未规范穿工作衣、未规范戴工作帽等。统一页面按预警类型分类展示，提供抓拍图片和抓拍数据。</w:t>
      </w:r>
    </w:p>
    <w:p>
      <w:pPr>
        <w:spacing w:line="360" w:lineRule="auto"/>
        <w:ind w:firstLine="420" w:firstLineChars="200"/>
        <w:jc w:val="left"/>
        <w:rPr>
          <w:rFonts w:asciiTheme="minorEastAsia" w:eastAsiaTheme="minorEastAsia" w:hAnsiTheme="minorEastAsia" w:hint="eastAsia"/>
          <w:b/>
          <w:bCs w:val="0"/>
          <w:kern w:val="44"/>
          <w:szCs w:val="21"/>
          <w:u w:val="double"/>
        </w:rPr>
      </w:pPr>
      <w:r>
        <w:rPr>
          <w:rFonts w:asciiTheme="minorEastAsia" w:eastAsiaTheme="minorEastAsia" w:hAnsiTheme="minorEastAsia" w:hint="eastAsia"/>
          <w:b/>
          <w:bCs w:val="0"/>
          <w:kern w:val="44"/>
          <w:szCs w:val="21"/>
          <w:u w:val="double"/>
        </w:rPr>
        <w:t>（5）中标单位需对坪山区500家持证餐饮单位及学校食堂提供“互联网+明厨亮灶”视频数据运营（运维）服务，服务截止时间至2025年12月31日，服务技术标准参照以上</w:t>
      </w:r>
      <w:r>
        <w:rPr>
          <w:rFonts w:asciiTheme="minorEastAsia" w:eastAsiaTheme="minorEastAsia" w:hAnsiTheme="minorEastAsia" w:hint="eastAsia"/>
          <w:b/>
          <w:bCs w:val="0"/>
          <w:kern w:val="44"/>
          <w:szCs w:val="21"/>
          <w:u w:val="double"/>
          <w:lang w:val="en-US" w:eastAsia="zh-CN"/>
        </w:rPr>
        <w:t>4</w:t>
      </w:r>
      <w:r>
        <w:rPr>
          <w:rFonts w:asciiTheme="minorEastAsia" w:eastAsiaTheme="minorEastAsia" w:hAnsiTheme="minorEastAsia" w:hint="eastAsia"/>
          <w:b/>
          <w:bCs w:val="0"/>
          <w:kern w:val="44"/>
          <w:szCs w:val="21"/>
          <w:u w:val="double"/>
        </w:rPr>
        <w:t>点要求。”</w:t>
      </w:r>
    </w:p>
    <w:p>
      <w:pPr>
        <w:spacing w:line="360" w:lineRule="auto"/>
        <w:ind w:firstLine="420" w:firstLineChars="200"/>
        <w:jc w:val="left"/>
        <w:rPr>
          <w:rFonts w:ascii="宋体" w:hAnsi="宋体" w:hint="eastAsia"/>
          <w:b/>
          <w:bCs/>
          <w:szCs w:val="21"/>
          <w:lang w:val="en-US" w:eastAsia="zh-CN"/>
        </w:rPr>
      </w:pPr>
      <w:r>
        <w:rPr>
          <w:rFonts w:ascii="宋体" w:hAnsi="宋体" w:hint="eastAsia"/>
          <w:b/>
          <w:bCs/>
          <w:szCs w:val="21"/>
          <w:lang w:eastAsia="zh-CN"/>
        </w:rPr>
        <w:t>（</w:t>
      </w:r>
      <w:r>
        <w:rPr>
          <w:rFonts w:ascii="宋体" w:hAnsi="宋体" w:hint="eastAsia"/>
          <w:b/>
          <w:bCs/>
          <w:szCs w:val="21"/>
          <w:lang w:val="en-US" w:eastAsia="zh-CN"/>
        </w:rPr>
        <w:t>二</w:t>
      </w:r>
      <w:r>
        <w:rPr>
          <w:rFonts w:ascii="宋体" w:hAnsi="宋体" w:hint="eastAsia"/>
          <w:b/>
          <w:bCs/>
          <w:szCs w:val="21"/>
          <w:lang w:eastAsia="zh-CN"/>
        </w:rPr>
        <w:t>）</w:t>
      </w:r>
      <w:r>
        <w:rPr>
          <w:rFonts w:ascii="宋体" w:hAnsi="宋体" w:hint="eastAsia"/>
          <w:b/>
          <w:bCs/>
          <w:szCs w:val="21"/>
        </w:rPr>
        <w:t>项目</w:t>
      </w:r>
      <w:r>
        <w:rPr>
          <w:rFonts w:ascii="宋体" w:hAnsi="宋体" w:hint="eastAsia"/>
          <w:b/>
          <w:bCs/>
          <w:szCs w:val="21"/>
          <w:lang w:val="en-US" w:eastAsia="zh-CN"/>
        </w:rPr>
        <w:t>管理要求</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1.</w:t>
      </w:r>
      <w:r>
        <w:rPr>
          <w:rFonts w:ascii="宋体" w:hAnsi="宋体" w:hint="eastAsia"/>
          <w:b/>
          <w:bCs/>
          <w:szCs w:val="21"/>
        </w:rPr>
        <w:t>组织实施要求</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1</w:t>
      </w:r>
      <w:r>
        <w:rPr>
          <w:rFonts w:ascii="宋体" w:hAnsi="宋体" w:hint="eastAsia"/>
          <w:szCs w:val="21"/>
          <w:lang w:eastAsia="zh-CN"/>
        </w:rPr>
        <w:t>）</w:t>
      </w:r>
      <w:r>
        <w:rPr>
          <w:rFonts w:ascii="宋体" w:hAnsi="宋体" w:hint="eastAsia"/>
          <w:szCs w:val="21"/>
        </w:rPr>
        <w:t>中标单位必须提供完整的技术方案，配备足够的人员和设备进入实施，确保按时按质完成任务。</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2</w:t>
      </w:r>
      <w:r>
        <w:rPr>
          <w:rFonts w:ascii="宋体" w:hAnsi="宋体" w:hint="eastAsia"/>
          <w:szCs w:val="21"/>
          <w:lang w:eastAsia="zh-CN"/>
        </w:rPr>
        <w:t>）</w:t>
      </w:r>
      <w:r>
        <w:rPr>
          <w:rFonts w:ascii="宋体" w:hAnsi="宋体" w:hint="eastAsia"/>
          <w:szCs w:val="21"/>
        </w:rPr>
        <w:t>为确保项目的顺利实施，成立科学的项目人员团队，采用合理的项目管理方法，并对项目的全程实施管理。</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3</w:t>
      </w:r>
      <w:r>
        <w:rPr>
          <w:rFonts w:ascii="宋体" w:hAnsi="宋体" w:hint="eastAsia"/>
          <w:szCs w:val="21"/>
          <w:lang w:eastAsia="zh-CN"/>
        </w:rPr>
        <w:t>）</w:t>
      </w:r>
      <w:r>
        <w:rPr>
          <w:rFonts w:ascii="宋体" w:hAnsi="宋体" w:hint="eastAsia"/>
          <w:szCs w:val="21"/>
        </w:rPr>
        <w:t>中标单位必须为采购单位提供方案设计、设备集成、工程设计、系统建设、联调测试、维护等专业化服务。</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4</w:t>
      </w:r>
      <w:r>
        <w:rPr>
          <w:rFonts w:ascii="宋体" w:hAnsi="宋体" w:hint="eastAsia"/>
          <w:szCs w:val="21"/>
          <w:lang w:eastAsia="zh-CN"/>
        </w:rPr>
        <w:t>）</w:t>
      </w:r>
      <w:r>
        <w:rPr>
          <w:rFonts w:ascii="宋体" w:hAnsi="宋体" w:hint="eastAsia"/>
          <w:szCs w:val="21"/>
        </w:rPr>
        <w:t>中标单位必须对本项目进行需求调研和深化设计，应根据管道资源情况和采购单位的需求合理地对路由和施工进行设计。</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5</w:t>
      </w:r>
      <w:r>
        <w:rPr>
          <w:rFonts w:ascii="宋体" w:hAnsi="宋体" w:hint="eastAsia"/>
          <w:szCs w:val="21"/>
          <w:lang w:eastAsia="zh-CN"/>
        </w:rPr>
        <w:t>）</w:t>
      </w:r>
      <w:r>
        <w:rPr>
          <w:rFonts w:ascii="宋体" w:hAnsi="宋体" w:hint="eastAsia"/>
          <w:szCs w:val="21"/>
        </w:rPr>
        <w:t>本项目实施过程中，采购单位不提供临建，中标单位需自行解决工具和材料的堆放场地。本项目实施过程中的管道开挖、路面恢复、供电报建、管道租赁或购买等不限于以上的全部费用均包含在服务费用中，采购单位不再另外支付以上费用。</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6</w:t>
      </w:r>
      <w:r>
        <w:rPr>
          <w:rFonts w:ascii="宋体" w:hAnsi="宋体" w:hint="eastAsia"/>
          <w:szCs w:val="21"/>
          <w:lang w:eastAsia="zh-CN"/>
        </w:rPr>
        <w:t>）</w:t>
      </w:r>
      <w:r>
        <w:rPr>
          <w:rFonts w:ascii="宋体" w:hAnsi="宋体" w:hint="eastAsia"/>
          <w:szCs w:val="21"/>
        </w:rPr>
        <w:t>如需实施道路开挖或购买管道资源的，中标单位严格按照市政规划要求办理完备的开挖报建、验收手续。</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7</w:t>
      </w:r>
      <w:r>
        <w:rPr>
          <w:rFonts w:ascii="宋体" w:hAnsi="宋体" w:hint="eastAsia"/>
          <w:szCs w:val="21"/>
          <w:lang w:eastAsia="zh-CN"/>
        </w:rPr>
        <w:t>）</w:t>
      </w:r>
      <w:r>
        <w:rPr>
          <w:rFonts w:ascii="宋体" w:hAnsi="宋体" w:hint="eastAsia"/>
          <w:szCs w:val="21"/>
        </w:rPr>
        <w:t>中标单位不得将采购单位的任何资料泄露给第三方，更不能提取、处理、发布任何信息资源。</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8</w:t>
      </w:r>
      <w:r>
        <w:rPr>
          <w:rFonts w:ascii="宋体" w:hAnsi="宋体" w:hint="eastAsia"/>
          <w:szCs w:val="21"/>
          <w:lang w:eastAsia="zh-CN"/>
        </w:rPr>
        <w:t>）</w:t>
      </w:r>
      <w:r>
        <w:rPr>
          <w:rFonts w:ascii="宋体" w:hAnsi="宋体" w:hint="eastAsia"/>
          <w:szCs w:val="21"/>
        </w:rPr>
        <w:t>中标单位必须在工程完成后及时向采购单位提交有关工程竣工资料文件。</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9</w:t>
      </w:r>
      <w:r>
        <w:rPr>
          <w:rFonts w:ascii="宋体" w:hAnsi="宋体" w:hint="eastAsia"/>
          <w:szCs w:val="21"/>
          <w:lang w:eastAsia="zh-CN"/>
        </w:rPr>
        <w:t>）</w:t>
      </w:r>
      <w:r>
        <w:rPr>
          <w:rFonts w:ascii="宋体" w:hAnsi="宋体" w:hint="eastAsia"/>
          <w:szCs w:val="21"/>
        </w:rPr>
        <w:t>中标单位须同意采购单位制定的服务费支付要求。</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2.</w:t>
      </w:r>
      <w:r>
        <w:rPr>
          <w:rFonts w:ascii="宋体" w:hAnsi="宋体" w:hint="eastAsia"/>
          <w:b/>
          <w:bCs/>
          <w:szCs w:val="21"/>
        </w:rPr>
        <w:t>项目管理体系</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1</w:t>
      </w:r>
      <w:r>
        <w:rPr>
          <w:rFonts w:ascii="宋体" w:hAnsi="宋体" w:hint="eastAsia"/>
          <w:szCs w:val="21"/>
          <w:lang w:eastAsia="zh-CN"/>
        </w:rPr>
        <w:t>）</w:t>
      </w:r>
      <w:r>
        <w:rPr>
          <w:rFonts w:ascii="宋体" w:hAnsi="宋体" w:hint="eastAsia"/>
          <w:szCs w:val="21"/>
        </w:rPr>
        <w:t>中标单位应结合本单位的项目管理体系情况，提出适合于本项目特点经过优化的项目管理体系，保障项目的顺利实施，达到项目服务质量要求。</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2</w:t>
      </w:r>
      <w:r>
        <w:rPr>
          <w:rFonts w:ascii="宋体" w:hAnsi="宋体" w:hint="eastAsia"/>
          <w:szCs w:val="21"/>
          <w:lang w:eastAsia="zh-CN"/>
        </w:rPr>
        <w:t>）</w:t>
      </w:r>
      <w:r>
        <w:rPr>
          <w:rFonts w:ascii="宋体" w:hAnsi="宋体" w:hint="eastAsia"/>
          <w:szCs w:val="21"/>
        </w:rPr>
        <w:t>项目管理体系应至少包括如下内容：项目组织机构，项目管理机制，包括项目计划管理、质量控制、进度控制、成本变更控制、人员管理、风险管理、内部和外部沟通机制等。</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3.</w:t>
      </w:r>
      <w:r>
        <w:rPr>
          <w:rFonts w:ascii="宋体" w:hAnsi="宋体" w:hint="eastAsia"/>
          <w:b/>
          <w:bCs/>
          <w:szCs w:val="21"/>
        </w:rPr>
        <w:t>项目监督与管理要求</w:t>
      </w:r>
    </w:p>
    <w:p>
      <w:pPr>
        <w:spacing w:line="360" w:lineRule="auto"/>
        <w:ind w:firstLine="420" w:firstLineChars="200"/>
        <w:jc w:val="left"/>
        <w:rPr>
          <w:rFonts w:ascii="宋体" w:eastAsia="宋体" w:hAnsi="宋体" w:hint="eastAsia"/>
          <w:szCs w:val="21"/>
          <w:lang w:eastAsia="zh-CN"/>
        </w:rPr>
      </w:pPr>
      <w:r>
        <w:rPr>
          <w:rFonts w:ascii="宋体" w:hAnsi="宋体" w:hint="eastAsia"/>
          <w:szCs w:val="21"/>
          <w:lang w:eastAsia="zh-CN"/>
        </w:rPr>
        <w:t>（</w:t>
      </w:r>
      <w:r>
        <w:rPr>
          <w:rFonts w:ascii="宋体" w:hAnsi="宋体" w:hint="eastAsia"/>
          <w:szCs w:val="21"/>
          <w:lang w:val="en-US" w:eastAsia="zh-CN"/>
        </w:rPr>
        <w:t>1</w:t>
      </w:r>
      <w:r>
        <w:rPr>
          <w:rFonts w:ascii="宋体" w:hAnsi="宋体" w:hint="eastAsia"/>
          <w:szCs w:val="21"/>
          <w:lang w:eastAsia="zh-CN"/>
        </w:rPr>
        <w:t>）</w:t>
      </w:r>
      <w:r>
        <w:rPr>
          <w:rFonts w:ascii="宋体" w:hAnsi="宋体" w:hint="eastAsia"/>
          <w:szCs w:val="21"/>
        </w:rPr>
        <w:t>采购单位对项目的质量、进度、计划、验收等进行全方位的管理</w:t>
      </w:r>
      <w:r>
        <w:rPr>
          <w:rFonts w:ascii="宋体" w:hAnsi="宋体" w:hint="eastAsia"/>
          <w:szCs w:val="21"/>
          <w:lang w:val="en-US" w:eastAsia="zh-CN"/>
        </w:rPr>
        <w:t>。</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2</w:t>
      </w:r>
      <w:r>
        <w:rPr>
          <w:rFonts w:ascii="宋体" w:hAnsi="宋体" w:hint="eastAsia"/>
          <w:szCs w:val="21"/>
          <w:lang w:eastAsia="zh-CN"/>
        </w:rPr>
        <w:t>）</w:t>
      </w:r>
      <w:r>
        <w:rPr>
          <w:rFonts w:ascii="宋体" w:hAnsi="宋体" w:hint="eastAsia"/>
          <w:szCs w:val="21"/>
        </w:rPr>
        <w:t>中标单位必须接受采购单位对于项目的管理和监督，及时向采购单位提交各种设计方案、实施方案、计划、报告等项目文档。对于采购单位对项目实施过程中指出的问题，应该积极给予答复并解决。对于采购单位提出的整改要求，应该服从并实施整改措施。</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3</w:t>
      </w:r>
      <w:r>
        <w:rPr>
          <w:rFonts w:ascii="宋体" w:hAnsi="宋体" w:hint="eastAsia"/>
          <w:szCs w:val="21"/>
          <w:lang w:eastAsia="zh-CN"/>
        </w:rPr>
        <w:t>）</w:t>
      </w:r>
      <w:r>
        <w:rPr>
          <w:rFonts w:ascii="宋体" w:hAnsi="宋体" w:hint="eastAsia"/>
          <w:szCs w:val="21"/>
        </w:rPr>
        <w:t>项目设计方案、实施方案和进度计划应经过采购单位的审核同意后才能付诸实施，重要的施工环节应取得采购单位的同意后才能施工，施工质量应接受采购单位的随时检查。</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4.</w:t>
      </w:r>
      <w:r>
        <w:rPr>
          <w:rFonts w:ascii="宋体" w:hAnsi="宋体" w:hint="eastAsia"/>
          <w:b/>
          <w:bCs/>
          <w:szCs w:val="21"/>
        </w:rPr>
        <w:t>人员管理要求</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1</w:t>
      </w:r>
      <w:r>
        <w:rPr>
          <w:rFonts w:ascii="宋体" w:hAnsi="宋体" w:hint="eastAsia"/>
          <w:szCs w:val="21"/>
          <w:lang w:eastAsia="zh-CN"/>
        </w:rPr>
        <w:t>）</w:t>
      </w:r>
      <w:r>
        <w:rPr>
          <w:rFonts w:ascii="宋体" w:hAnsi="宋体" w:hint="eastAsia"/>
          <w:szCs w:val="21"/>
        </w:rPr>
        <w:t>中标单位在项目实施过程中必须有一名专职项目负责人与采购方进行对接工作，以便于项目在过程中能及时进行沟通协作。</w:t>
      </w:r>
    </w:p>
    <w:p>
      <w:pPr>
        <w:spacing w:line="360" w:lineRule="auto"/>
        <w:ind w:firstLine="420" w:firstLineChars="200"/>
        <w:jc w:val="left"/>
        <w:rPr>
          <w:rFonts w:ascii="宋体" w:eastAsia="宋体" w:hAnsi="宋体" w:hint="eastAsia"/>
          <w:szCs w:val="21"/>
          <w:lang w:val="en-US" w:eastAsia="zh-CN"/>
        </w:rPr>
      </w:pPr>
      <w:r>
        <w:rPr>
          <w:rFonts w:ascii="宋体" w:hAnsi="宋体" w:hint="eastAsia"/>
          <w:szCs w:val="21"/>
          <w:lang w:eastAsia="zh-CN"/>
        </w:rPr>
        <w:t>（</w:t>
      </w:r>
      <w:r>
        <w:rPr>
          <w:rFonts w:ascii="宋体" w:hAnsi="宋体" w:hint="eastAsia"/>
          <w:szCs w:val="21"/>
          <w:lang w:val="en-US" w:eastAsia="zh-CN"/>
        </w:rPr>
        <w:t>2</w:t>
      </w:r>
      <w:r>
        <w:rPr>
          <w:rFonts w:ascii="宋体" w:hAnsi="宋体" w:hint="eastAsia"/>
          <w:szCs w:val="21"/>
          <w:lang w:eastAsia="zh-CN"/>
        </w:rPr>
        <w:t>）</w:t>
      </w:r>
      <w:r>
        <w:rPr>
          <w:rFonts w:ascii="宋体" w:hAnsi="宋体" w:hint="eastAsia"/>
          <w:szCs w:val="21"/>
        </w:rPr>
        <w:t>中标单位需要保障在服务合约期内的售后服务标准7*8小时*2小时内响应，72小时内解决。中标人应配备不少于</w:t>
      </w:r>
      <w:r>
        <w:rPr>
          <w:rFonts w:ascii="宋体" w:hAnsi="宋体" w:hint="eastAsia"/>
          <w:szCs w:val="21"/>
          <w:lang w:val="en-US" w:eastAsia="zh-CN"/>
        </w:rPr>
        <w:t>7</w:t>
      </w:r>
      <w:r>
        <w:rPr>
          <w:rFonts w:ascii="宋体" w:hAnsi="宋体" w:hint="eastAsia"/>
          <w:szCs w:val="21"/>
        </w:rPr>
        <w:t>名</w:t>
      </w:r>
      <w:r>
        <w:rPr>
          <w:rFonts w:ascii="宋体" w:hAnsi="宋体" w:hint="eastAsia"/>
          <w:szCs w:val="21"/>
          <w:lang w:val="en-US" w:eastAsia="zh-CN"/>
        </w:rPr>
        <w:t>项目</w:t>
      </w:r>
      <w:r>
        <w:rPr>
          <w:rFonts w:ascii="宋体" w:hAnsi="宋体" w:hint="eastAsia"/>
          <w:szCs w:val="21"/>
        </w:rPr>
        <w:t>人员负责本项目的日常运维及故障排除工作</w:t>
      </w:r>
      <w:r>
        <w:rPr>
          <w:rFonts w:ascii="宋体" w:hAnsi="宋体" w:hint="eastAsia"/>
          <w:szCs w:val="21"/>
          <w:lang w:eastAsia="zh-CN"/>
        </w:rPr>
        <w:t>。</w:t>
      </w:r>
    </w:p>
    <w:p>
      <w:pPr>
        <w:spacing w:line="360" w:lineRule="auto"/>
        <w:ind w:firstLine="420" w:firstLineChars="200"/>
        <w:jc w:val="left"/>
        <w:rPr>
          <w:rFonts w:ascii="宋体" w:hAnsi="宋体" w:hint="eastAsia"/>
          <w:b/>
          <w:bCs/>
          <w:szCs w:val="21"/>
          <w:lang w:val="en-US" w:eastAsia="zh-CN"/>
        </w:rPr>
      </w:pPr>
      <w:r>
        <w:rPr>
          <w:rFonts w:ascii="宋体" w:hAnsi="宋体" w:hint="eastAsia"/>
          <w:b/>
          <w:bCs/>
          <w:szCs w:val="21"/>
          <w:lang w:eastAsia="zh-CN"/>
        </w:rPr>
        <w:t>（</w:t>
      </w:r>
      <w:r>
        <w:rPr>
          <w:rFonts w:ascii="宋体" w:hAnsi="宋体" w:hint="eastAsia"/>
          <w:b/>
          <w:bCs/>
          <w:szCs w:val="21"/>
          <w:lang w:val="en-US" w:eastAsia="zh-CN"/>
        </w:rPr>
        <w:t>三</w:t>
      </w:r>
      <w:r>
        <w:rPr>
          <w:rFonts w:ascii="宋体" w:hAnsi="宋体" w:hint="eastAsia"/>
          <w:b/>
          <w:bCs/>
          <w:szCs w:val="21"/>
          <w:lang w:eastAsia="zh-CN"/>
        </w:rPr>
        <w:t>）</w:t>
      </w:r>
      <w:r>
        <w:rPr>
          <w:rFonts w:ascii="宋体" w:hAnsi="宋体" w:hint="eastAsia"/>
          <w:b/>
          <w:bCs/>
          <w:szCs w:val="21"/>
          <w:lang w:val="en-US" w:eastAsia="zh-CN"/>
        </w:rPr>
        <w:t>服务的总体要求和数量要求</w:t>
      </w:r>
    </w:p>
    <w:p>
      <w:pPr>
        <w:spacing w:line="360" w:lineRule="auto"/>
        <w:ind w:firstLine="420" w:firstLineChars="200"/>
        <w:jc w:val="left"/>
        <w:rPr>
          <w:rFonts w:ascii="宋体" w:hAnsi="宋体" w:hint="eastAsia"/>
          <w:szCs w:val="21"/>
        </w:rPr>
      </w:pPr>
      <w:r>
        <w:rPr>
          <w:rFonts w:asciiTheme="minorEastAsia" w:eastAsiaTheme="minorEastAsia" w:hAnsiTheme="minorEastAsia" w:hint="eastAsia"/>
          <w:b/>
          <w:bCs w:val="0"/>
          <w:kern w:val="44"/>
          <w:szCs w:val="21"/>
          <w:u w:val="double"/>
        </w:rPr>
        <w:t>中标单位需对深圳市市场监督管理局坪山监管局提供本辖区225家学校食堂等重点餐饮服务单位、175家坪山区经营面积超过200平方米的社会餐饮服务单位、园区食堂和100家坪山区网络餐饮服务单位（共计500家）的“互联网+明厨亮灶”提供视频数据运营（运维）服务，其中坪山区学校食堂等重点餐饮服务单位应覆盖粗加工区、烹饪区、洗消区、专间及面点区（可结合场所实际情况调整），摄像头5个/家，并配备一台高清、42 寸或以上的展示屏；坪山区经营面积超过200平方米的社会餐饮服务单位，应覆盖粗加工区、烹饪区、洗消区、专间及面点区（可结合场所实际情况调整），摄像头5个/家，无展示屏数量要求；坪山区网络餐饮服务单位在主要加工区配置摄像头1个/家，无展示屏数量要求。如因餐饮服务单位实际情况导致安装的摄像头或显示屏数量无法满足要求时，可调整餐饮服务单位摄像头、显示屏的安装数量，但需满足重点餐饮服务单位不少于225家，200平</w:t>
      </w:r>
      <w:r>
        <w:rPr>
          <w:rFonts w:asciiTheme="minorEastAsia" w:eastAsiaTheme="minorEastAsia" w:hAnsiTheme="minorEastAsia" w:hint="eastAsia"/>
          <w:b/>
          <w:bCs w:val="0"/>
          <w:kern w:val="44"/>
          <w:szCs w:val="21"/>
          <w:u w:val="double"/>
          <w:lang w:val="en-US" w:eastAsia="zh-CN"/>
        </w:rPr>
        <w:t>方米或</w:t>
      </w:r>
      <w:r>
        <w:rPr>
          <w:rFonts w:asciiTheme="minorEastAsia" w:eastAsiaTheme="minorEastAsia" w:hAnsiTheme="minorEastAsia" w:hint="eastAsia"/>
          <w:b/>
          <w:bCs w:val="0"/>
          <w:kern w:val="44"/>
          <w:szCs w:val="21"/>
          <w:u w:val="double"/>
        </w:rPr>
        <w:t>以上社会餐饮服务及园区食堂不少于175家，网络餐饮服务单位不少于100家，总摄像头数量不少于2100个，展示屏数不少于225台。以上500家餐饮单位、学校食堂、园区食堂均须提供分布式的视频存储、视频编解码、视频汇集、历史图像查阅和视频共享服务。</w:t>
      </w:r>
    </w:p>
    <w:p>
      <w:pPr>
        <w:spacing w:line="360" w:lineRule="auto"/>
        <w:ind w:firstLine="420" w:firstLineChars="200"/>
        <w:jc w:val="left"/>
        <w:rPr>
          <w:rFonts w:ascii="宋体" w:hAnsi="宋体" w:hint="eastAsia"/>
          <w:szCs w:val="21"/>
        </w:rPr>
      </w:pPr>
      <w:r>
        <w:rPr>
          <w:rFonts w:ascii="宋体" w:hAnsi="宋体" w:hint="eastAsia"/>
          <w:szCs w:val="21"/>
        </w:rPr>
        <w:t>中标单位提供“互联网+明厨亮灶”视频监管服务的网络型摄像头要求，有效像素不低于200万、至少为双码流、清晰度不低于1080P，整体达到IP66</w:t>
      </w:r>
      <w:r>
        <w:rPr>
          <w:rFonts w:ascii="宋体" w:hAnsi="宋体" w:hint="eastAsia"/>
          <w:szCs w:val="21"/>
          <w:lang w:val="en-US" w:eastAsia="zh-CN"/>
        </w:rPr>
        <w:t>或以上</w:t>
      </w:r>
      <w:r>
        <w:rPr>
          <w:rFonts w:ascii="宋体" w:hAnsi="宋体" w:hint="eastAsia"/>
          <w:szCs w:val="21"/>
        </w:rPr>
        <w:t>防护等级，带红外夜视，红外距离20米</w:t>
      </w:r>
      <w:r>
        <w:rPr>
          <w:rFonts w:ascii="宋体" w:hAnsi="宋体" w:hint="eastAsia"/>
          <w:szCs w:val="21"/>
          <w:lang w:val="en-US" w:eastAsia="zh-CN"/>
        </w:rPr>
        <w:t>或</w:t>
      </w:r>
      <w:r>
        <w:rPr>
          <w:rFonts w:ascii="宋体" w:hAnsi="宋体" w:hint="eastAsia"/>
          <w:szCs w:val="21"/>
        </w:rPr>
        <w:t>以上，支持POE供电。</w:t>
      </w:r>
    </w:p>
    <w:p>
      <w:pPr>
        <w:spacing w:line="360" w:lineRule="auto"/>
        <w:ind w:firstLine="420" w:firstLineChars="200"/>
        <w:jc w:val="left"/>
        <w:rPr>
          <w:rFonts w:ascii="宋体" w:hAnsi="宋体" w:hint="eastAsia"/>
          <w:szCs w:val="21"/>
        </w:rPr>
      </w:pPr>
      <w:r>
        <w:rPr>
          <w:rFonts w:ascii="宋体" w:hAnsi="宋体" w:hint="eastAsia"/>
          <w:szCs w:val="21"/>
        </w:rPr>
        <w:t>中标单位提供分布式视频存储、视频编解码、视频汇集、历史图像查阅和视频共享监管服务的视频网关（以下简称视频网关），需支持至少多路视频流转码，并且满足8路视频网关设备自带不少于2TB的存储介质，可存储720P、1080P等分辨率图像，存储时间不少于15天。所有视频网关必须直接将采集到的视频数据接入到“深圳市阳光智慧餐饮监管与信息公示系统”的明厨亮灶视频汇集管控子系统。视频网关支持远程调用历史视频录像等集中控制管理功能。</w:t>
      </w:r>
    </w:p>
    <w:p>
      <w:pPr>
        <w:spacing w:line="360" w:lineRule="auto"/>
        <w:ind w:firstLine="420" w:firstLineChars="200"/>
        <w:jc w:val="left"/>
        <w:rPr>
          <w:rFonts w:ascii="宋体" w:hAnsi="宋体" w:hint="eastAsia"/>
          <w:szCs w:val="21"/>
        </w:rPr>
      </w:pPr>
      <w:r>
        <w:rPr>
          <w:rFonts w:ascii="宋体" w:hAnsi="宋体" w:hint="eastAsia"/>
          <w:szCs w:val="21"/>
        </w:rPr>
        <w:t>展示屏需确保5路1080P高清后厨画面同时展示，采用1大4小视频画面方式进行视频轮巡展示，同时可展示量化等级信息、宣传信息、通知公告、各类整改通知以及能够进行食药知识科普及培训，应采用智能展示屏方案，从施工便利性、系统扩展性及维护便利性考虑，应采用智能机直接解码视频流方式，不能采用VGA、HDMI等数据线方式进行视频数据展示，并确保展示的各类数据与市场监管</w:t>
      </w:r>
      <w:r>
        <w:rPr>
          <w:rFonts w:ascii="宋体" w:hAnsi="宋体" w:hint="eastAsia"/>
          <w:szCs w:val="21"/>
          <w:lang w:val="en-US" w:eastAsia="zh-CN"/>
        </w:rPr>
        <w:t>局</w:t>
      </w:r>
      <w:r>
        <w:rPr>
          <w:rFonts w:ascii="宋体" w:hAnsi="宋体" w:hint="eastAsia"/>
          <w:szCs w:val="21"/>
        </w:rPr>
        <w:t>数据统一。为保证显示效果，智能屏主频需采用RK3288或以上主板，2G或以上运行内存，存储容量16G或以上。</w:t>
      </w:r>
    </w:p>
    <w:p>
      <w:pPr>
        <w:keepNext/>
        <w:keepLines/>
        <w:spacing w:line="360" w:lineRule="auto"/>
        <w:ind w:firstLine="420" w:firstLineChars="200"/>
        <w:jc w:val="left"/>
        <w:outlineLvl w:val="0"/>
        <w:rPr>
          <w:rFonts w:asciiTheme="minorEastAsia" w:eastAsiaTheme="minorEastAsia" w:hAnsiTheme="minorEastAsia" w:hint="eastAsia"/>
          <w:b/>
          <w:bCs w:val="0"/>
          <w:kern w:val="44"/>
          <w:szCs w:val="21"/>
          <w:u w:val="double"/>
        </w:rPr>
      </w:pPr>
      <w:r>
        <w:rPr>
          <w:rFonts w:asciiTheme="minorEastAsia" w:eastAsiaTheme="minorEastAsia" w:hAnsiTheme="minorEastAsia" w:hint="eastAsia"/>
          <w:b/>
          <w:bCs w:val="0"/>
          <w:kern w:val="44"/>
          <w:szCs w:val="21"/>
          <w:u w:val="double"/>
        </w:rPr>
        <w:t>中标单位需对深圳市市场监督管理局坪山监管局225家学校食堂等重点餐饮服务单位提供AI预警、AI抓拍功能。抓拍内容：鼠患识别、未规范佩戴口罩、未规范穿工作衣、未规范戴工作帽等。统一页面按预警类型分类展示，提供抓拍图片和抓拍数据。</w:t>
      </w:r>
    </w:p>
    <w:p>
      <w:pPr>
        <w:spacing w:line="360" w:lineRule="auto"/>
        <w:ind w:firstLine="420" w:firstLineChars="200"/>
        <w:jc w:val="left"/>
        <w:rPr>
          <w:rFonts w:ascii="宋体" w:hAnsi="宋体" w:hint="default"/>
          <w:szCs w:val="21"/>
          <w:lang w:val="en-US"/>
        </w:rPr>
      </w:pPr>
      <w:r>
        <w:rPr>
          <w:rFonts w:asciiTheme="minorEastAsia" w:eastAsiaTheme="minorEastAsia" w:hAnsiTheme="minorEastAsia" w:hint="eastAsia"/>
          <w:b/>
          <w:bCs w:val="0"/>
          <w:kern w:val="44"/>
          <w:szCs w:val="21"/>
          <w:u w:val="double"/>
        </w:rPr>
        <w:t>中标单位需对坪山区500家持证餐饮单位及学校食堂提供“互联网+明厨亮灶”视频数据运营（运维）服务，运营（运维）服务截止时间至2025年12月31日，运营（运维）服务包含但不限于网络租赁、日常维护、硬件设备更换、餐饮单位更新安装等内容，服务技术标准参照新建要求。</w:t>
      </w:r>
    </w:p>
    <w:p>
      <w:pPr>
        <w:spacing w:line="360" w:lineRule="auto"/>
        <w:ind w:firstLine="420" w:firstLineChars="200"/>
        <w:jc w:val="left"/>
        <w:rPr>
          <w:rFonts w:ascii="宋体" w:hAnsi="宋体" w:hint="eastAsia"/>
          <w:b/>
          <w:bCs/>
          <w:szCs w:val="21"/>
          <w:lang w:eastAsia="zh-CN"/>
        </w:rPr>
      </w:pPr>
      <w:r>
        <w:rPr>
          <w:rFonts w:ascii="宋体" w:hAnsi="宋体" w:hint="eastAsia"/>
          <w:b/>
          <w:bCs/>
          <w:szCs w:val="21"/>
          <w:lang w:eastAsia="zh-CN"/>
        </w:rPr>
        <w:t>（</w:t>
      </w:r>
      <w:r>
        <w:rPr>
          <w:rFonts w:ascii="宋体" w:hAnsi="宋体" w:hint="eastAsia"/>
          <w:b/>
          <w:bCs/>
          <w:szCs w:val="21"/>
          <w:lang w:val="en-US" w:eastAsia="zh-CN"/>
        </w:rPr>
        <w:t>四</w:t>
      </w:r>
      <w:r>
        <w:rPr>
          <w:rFonts w:ascii="宋体" w:hAnsi="宋体" w:hint="eastAsia"/>
          <w:b/>
          <w:bCs/>
          <w:szCs w:val="21"/>
          <w:lang w:eastAsia="zh-CN"/>
        </w:rPr>
        <w:t>）项目技术要求</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1.</w:t>
      </w:r>
      <w:r>
        <w:rPr>
          <w:rFonts w:ascii="宋体" w:hAnsi="宋体" w:hint="eastAsia"/>
          <w:b/>
          <w:bCs/>
          <w:szCs w:val="21"/>
        </w:rPr>
        <w:t>总体技术要求</w:t>
      </w:r>
    </w:p>
    <w:p>
      <w:pPr>
        <w:spacing w:line="360" w:lineRule="auto"/>
        <w:ind w:firstLine="420" w:firstLineChars="200"/>
        <w:jc w:val="left"/>
        <w:rPr>
          <w:rFonts w:ascii="宋体" w:hAnsi="宋体" w:hint="eastAsia"/>
          <w:szCs w:val="21"/>
        </w:rPr>
      </w:pPr>
      <w:r>
        <w:rPr>
          <w:rFonts w:ascii="宋体" w:hAnsi="宋体" w:hint="eastAsia"/>
          <w:szCs w:val="21"/>
        </w:rPr>
        <w:t>提供“互联网+明厨亮灶”食品监管服务的各级前端摄像头采集的视频流，需统一汇集并接入“深圳市阳光智慧餐饮监管与信息公示系统”（另行采购）的明厨亮灶视频汇集管控子系统，并通过“深圳市阳光智慧餐饮监管与信息公示系统”的明厨亮灶视频汇集管控子系统集中统一对外分享视频信号，如上图所示。</w:t>
      </w:r>
    </w:p>
    <w:p>
      <w:pPr>
        <w:pStyle w:val="BodyText"/>
        <w:rPr>
          <w:rFonts w:ascii="宋体" w:hAnsi="宋体" w:hint="eastAsia"/>
          <w:szCs w:val="21"/>
        </w:rPr>
      </w:pPr>
      <w:r>
        <w:rPr>
          <w:rFonts w:ascii="宋体" w:hAnsi="宋体" w:hint="eastAsia"/>
          <w:szCs w:val="21"/>
        </w:rPr>
        <w:drawing>
          <wp:inline distT="0" distB="0" distL="114300" distR="114300">
            <wp:extent cx="5806440" cy="2796540"/>
            <wp:effectExtent l="0" t="0" r="3810" b="0"/>
            <wp:docPr id="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1"/>
                    <pic:cNvPicPr>
                      <a:picLocks noChangeAspect="1"/>
                    </pic:cNvPicPr>
                  </pic:nvPicPr>
                  <pic:blipFill>
                    <a:blip xmlns:r="http://schemas.openxmlformats.org/officeDocument/2006/relationships" r:embed="rId6"/>
                    <a:stretch>
                      <a:fillRect/>
                    </a:stretch>
                  </pic:blipFill>
                  <pic:spPr>
                    <a:xfrm>
                      <a:off x="0" y="0"/>
                      <a:ext cx="5806440" cy="2796540"/>
                    </a:xfrm>
                    <a:prstGeom prst="rect">
                      <a:avLst/>
                    </a:prstGeom>
                    <a:noFill/>
                    <a:ln>
                      <a:noFill/>
                    </a:ln>
                  </pic:spPr>
                </pic:pic>
              </a:graphicData>
            </a:graphic>
          </wp:inline>
        </w:drawing>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2.</w:t>
      </w:r>
      <w:r>
        <w:rPr>
          <w:rFonts w:ascii="宋体" w:hAnsi="宋体" w:hint="eastAsia"/>
          <w:b/>
          <w:bCs/>
          <w:szCs w:val="21"/>
        </w:rPr>
        <w:t>系统架构技术要求</w:t>
      </w:r>
    </w:p>
    <w:p>
      <w:pPr>
        <w:spacing w:line="360" w:lineRule="auto"/>
        <w:ind w:firstLine="420" w:firstLineChars="200"/>
        <w:jc w:val="left"/>
        <w:rPr>
          <w:rFonts w:ascii="宋体" w:hAnsi="宋体" w:hint="eastAsia"/>
          <w:szCs w:val="21"/>
        </w:rPr>
      </w:pPr>
      <w:r>
        <w:rPr>
          <w:rFonts w:ascii="宋体" w:hAnsi="宋体" w:hint="eastAsia"/>
          <w:szCs w:val="21"/>
        </w:rPr>
        <w:t>提供“互联网+明厨亮灶”视频监管服务的系统应支持分布式部署架构，在系统中各服务模块会实时检测自身运行状态，并实时反馈运行状态信息。</w:t>
      </w:r>
    </w:p>
    <w:p>
      <w:pPr>
        <w:spacing w:line="360" w:lineRule="auto"/>
        <w:ind w:firstLine="420" w:firstLineChars="200"/>
        <w:jc w:val="left"/>
        <w:rPr>
          <w:rFonts w:ascii="宋体" w:hAnsi="宋体" w:hint="eastAsia"/>
          <w:szCs w:val="21"/>
        </w:rPr>
      </w:pPr>
      <w:r>
        <w:rPr>
          <w:rFonts w:ascii="宋体" w:hAnsi="宋体" w:hint="eastAsia"/>
          <w:szCs w:val="21"/>
        </w:rPr>
        <w:t>提供“互联网+明厨亮灶”视频监管服务的系统应支持HLS切片服务和RTMP服务为互联网+视频数据的无控件无安装拓展应用提供支持,系统应支持餐饮单位数据关联属性，包含但不限于餐饮单位名称、经营许可证号、地理坐标等信息，为大数据应用提供拓展数据支持。</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3.</w:t>
      </w:r>
      <w:r>
        <w:rPr>
          <w:rFonts w:ascii="宋体" w:hAnsi="宋体" w:hint="eastAsia"/>
          <w:b/>
          <w:bCs/>
          <w:szCs w:val="21"/>
        </w:rPr>
        <w:t>系统接入兼容性要求</w:t>
      </w:r>
    </w:p>
    <w:p>
      <w:pPr>
        <w:spacing w:line="360" w:lineRule="auto"/>
        <w:ind w:firstLine="420" w:firstLineChars="200"/>
        <w:jc w:val="left"/>
        <w:rPr>
          <w:rFonts w:ascii="宋体" w:hAnsi="宋体" w:hint="eastAsia"/>
          <w:szCs w:val="21"/>
        </w:rPr>
      </w:pPr>
      <w:r>
        <w:rPr>
          <w:rFonts w:ascii="宋体" w:hAnsi="宋体" w:hint="eastAsia"/>
          <w:szCs w:val="21"/>
        </w:rPr>
        <w:t>提供“互联网+明厨亮灶”视频监管服务的系统应支持接入标准ONVIF协议或GB/T 28181网络摄像机接入。</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4.</w:t>
      </w:r>
      <w:r>
        <w:rPr>
          <w:rFonts w:ascii="宋体" w:hAnsi="宋体" w:hint="eastAsia"/>
          <w:b/>
          <w:bCs/>
          <w:szCs w:val="21"/>
        </w:rPr>
        <w:t>系统管理要求</w:t>
      </w:r>
    </w:p>
    <w:p>
      <w:pPr>
        <w:spacing w:line="360" w:lineRule="auto"/>
        <w:ind w:firstLine="420" w:firstLineChars="200"/>
        <w:jc w:val="left"/>
        <w:rPr>
          <w:rFonts w:ascii="宋体" w:hAnsi="宋体" w:hint="eastAsia"/>
          <w:szCs w:val="21"/>
        </w:rPr>
      </w:pPr>
      <w:r>
        <w:rPr>
          <w:rFonts w:ascii="宋体" w:hAnsi="宋体" w:hint="eastAsia"/>
          <w:szCs w:val="21"/>
        </w:rPr>
        <w:t>独立的客户端查看或API开放给业务平台系统。</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1</w:t>
      </w:r>
      <w:r>
        <w:rPr>
          <w:rFonts w:ascii="宋体" w:hAnsi="宋体" w:hint="eastAsia"/>
          <w:szCs w:val="21"/>
          <w:lang w:eastAsia="zh-CN"/>
        </w:rPr>
        <w:t>）</w:t>
      </w:r>
      <w:r>
        <w:rPr>
          <w:rFonts w:ascii="宋体" w:hAnsi="宋体" w:hint="eastAsia"/>
          <w:szCs w:val="21"/>
        </w:rPr>
        <w:t>实时视频播放；</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2</w:t>
      </w:r>
      <w:r>
        <w:rPr>
          <w:rFonts w:ascii="宋体" w:hAnsi="宋体" w:hint="eastAsia"/>
          <w:szCs w:val="21"/>
          <w:lang w:eastAsia="zh-CN"/>
        </w:rPr>
        <w:t>）</w:t>
      </w:r>
      <w:r>
        <w:rPr>
          <w:rFonts w:ascii="宋体" w:hAnsi="宋体" w:hint="eastAsia"/>
          <w:szCs w:val="21"/>
        </w:rPr>
        <w:t>设备列表管理：如设备更名，设备列表节点管理等；</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3</w:t>
      </w:r>
      <w:r>
        <w:rPr>
          <w:rFonts w:ascii="宋体" w:hAnsi="宋体" w:hint="eastAsia"/>
          <w:szCs w:val="21"/>
          <w:lang w:eastAsia="zh-CN"/>
        </w:rPr>
        <w:t>）</w:t>
      </w:r>
      <w:r>
        <w:rPr>
          <w:rFonts w:ascii="宋体" w:hAnsi="宋体" w:hint="eastAsia"/>
          <w:szCs w:val="21"/>
        </w:rPr>
        <w:t>多分屏显示：可自由选择1/4/6/7/8/9/10/13/16分屏；</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4</w:t>
      </w:r>
      <w:r>
        <w:rPr>
          <w:rFonts w:ascii="宋体" w:hAnsi="宋体" w:hint="eastAsia"/>
          <w:szCs w:val="21"/>
          <w:lang w:eastAsia="zh-CN"/>
        </w:rPr>
        <w:t>）</w:t>
      </w:r>
      <w:r>
        <w:rPr>
          <w:rFonts w:ascii="宋体" w:hAnsi="宋体" w:hint="eastAsia"/>
          <w:szCs w:val="21"/>
        </w:rPr>
        <w:t>设备云台控制：可以控制四个方向移动，镜头放大缩小；</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5</w:t>
      </w:r>
      <w:r>
        <w:rPr>
          <w:rFonts w:ascii="宋体" w:hAnsi="宋体" w:hint="eastAsia"/>
          <w:szCs w:val="21"/>
          <w:lang w:eastAsia="zh-CN"/>
        </w:rPr>
        <w:t>）</w:t>
      </w:r>
      <w:r>
        <w:rPr>
          <w:rFonts w:ascii="宋体" w:hAnsi="宋体" w:hint="eastAsia"/>
          <w:szCs w:val="21"/>
        </w:rPr>
        <w:t>视图存储选择：连续的录像建议选前端存储，图片和录像片段可选择云端存储；</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6</w:t>
      </w:r>
      <w:r>
        <w:rPr>
          <w:rFonts w:ascii="宋体" w:hAnsi="宋体" w:hint="eastAsia"/>
          <w:szCs w:val="21"/>
          <w:lang w:eastAsia="zh-CN"/>
        </w:rPr>
        <w:t>）</w:t>
      </w:r>
      <w:r>
        <w:rPr>
          <w:rFonts w:ascii="宋体" w:hAnsi="宋体" w:hint="eastAsia"/>
          <w:szCs w:val="21"/>
        </w:rPr>
        <w:t>视频录像和查询：可根据设备、时间段来查询录像列表；</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7</w:t>
      </w:r>
      <w:r>
        <w:rPr>
          <w:rFonts w:ascii="宋体" w:hAnsi="宋体" w:hint="eastAsia"/>
          <w:szCs w:val="21"/>
          <w:lang w:eastAsia="zh-CN"/>
        </w:rPr>
        <w:t>）</w:t>
      </w:r>
      <w:r>
        <w:rPr>
          <w:rFonts w:ascii="宋体" w:hAnsi="宋体" w:hint="eastAsia"/>
          <w:szCs w:val="21"/>
        </w:rPr>
        <w:t>视频录像回放：可以指定单个录像文件播放，也可将多个录像文件联播；</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8</w:t>
      </w:r>
      <w:r>
        <w:rPr>
          <w:rFonts w:ascii="宋体" w:hAnsi="宋体" w:hint="eastAsia"/>
          <w:szCs w:val="21"/>
          <w:lang w:eastAsia="zh-CN"/>
        </w:rPr>
        <w:t>）</w:t>
      </w:r>
      <w:r>
        <w:rPr>
          <w:rFonts w:ascii="宋体" w:hAnsi="宋体" w:hint="eastAsia"/>
          <w:szCs w:val="21"/>
        </w:rPr>
        <w:t>视频录像下载：录像可下载至本地保存再播放。</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5.</w:t>
      </w:r>
      <w:r>
        <w:rPr>
          <w:rFonts w:ascii="宋体" w:hAnsi="宋体" w:hint="eastAsia"/>
          <w:b/>
          <w:bCs/>
          <w:szCs w:val="21"/>
        </w:rPr>
        <w:t>视频运输网络要求</w:t>
      </w:r>
    </w:p>
    <w:p>
      <w:pPr>
        <w:spacing w:line="360" w:lineRule="auto"/>
        <w:ind w:firstLine="420" w:firstLineChars="200"/>
        <w:jc w:val="left"/>
        <w:rPr>
          <w:rFonts w:ascii="宋体" w:hAnsi="宋体" w:hint="eastAsia"/>
          <w:szCs w:val="21"/>
        </w:rPr>
      </w:pPr>
      <w:r>
        <w:rPr>
          <w:rFonts w:ascii="宋体" w:hAnsi="宋体" w:hint="eastAsia"/>
          <w:szCs w:val="21"/>
        </w:rPr>
        <w:t>为保障集中监管及社会共享共治效果，减少各类餐饮企业成本压力，中标单位需配套提供视频监管网络带宽，每家餐饮企业或学校食堂提供上行带宽不少于10Mbps，下行带宽不少于2Mbps（网络服务由中标单位提供）。</w:t>
      </w:r>
    </w:p>
    <w:p>
      <w:pPr>
        <w:spacing w:line="360" w:lineRule="auto"/>
        <w:ind w:firstLine="420" w:firstLineChars="200"/>
        <w:jc w:val="left"/>
        <w:rPr>
          <w:rFonts w:ascii="宋体" w:hAnsi="宋体" w:hint="eastAsia"/>
          <w:szCs w:val="21"/>
        </w:rPr>
      </w:pPr>
      <w:r>
        <w:rPr>
          <w:rFonts w:ascii="宋体" w:hAnsi="宋体" w:hint="eastAsia"/>
          <w:szCs w:val="21"/>
        </w:rPr>
        <w:t>为汇聚点提供1条不低于100Mbps上下行对等的互联网专线。</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6.</w:t>
      </w:r>
      <w:r>
        <w:rPr>
          <w:rFonts w:ascii="宋体" w:hAnsi="宋体" w:hint="eastAsia"/>
          <w:b/>
          <w:bCs/>
          <w:szCs w:val="21"/>
        </w:rPr>
        <w:t>视频格式与编码技术要求</w:t>
      </w:r>
    </w:p>
    <w:p>
      <w:pPr>
        <w:spacing w:line="360" w:lineRule="auto"/>
        <w:ind w:firstLine="420" w:firstLineChars="200"/>
        <w:jc w:val="left"/>
        <w:rPr>
          <w:rFonts w:ascii="宋体" w:hAnsi="宋体" w:hint="eastAsia"/>
          <w:szCs w:val="21"/>
        </w:rPr>
      </w:pPr>
      <w:r>
        <w:rPr>
          <w:rFonts w:ascii="宋体" w:hAnsi="宋体" w:hint="eastAsia"/>
          <w:szCs w:val="21"/>
        </w:rPr>
        <w:t>前端视频采集设备应支持双码流编码能力，图像分辨率应不小于720P，前端存储视频帧率应不低于25fps，远程实时视频帧率应不低于12fps。远程访问视频数据支持主、辅码流的调取。</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7.</w:t>
      </w:r>
      <w:r>
        <w:rPr>
          <w:rFonts w:ascii="宋体" w:hAnsi="宋体" w:hint="eastAsia"/>
          <w:b/>
          <w:bCs/>
          <w:szCs w:val="21"/>
        </w:rPr>
        <w:t>数字图像信息存储与回放系统技术要求</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1</w:t>
      </w:r>
      <w:r>
        <w:rPr>
          <w:rFonts w:ascii="宋体" w:hAnsi="宋体" w:hint="eastAsia"/>
          <w:szCs w:val="21"/>
          <w:lang w:eastAsia="zh-CN"/>
        </w:rPr>
        <w:t>）</w:t>
      </w:r>
      <w:r>
        <w:rPr>
          <w:rFonts w:ascii="宋体" w:hAnsi="宋体" w:hint="eastAsia"/>
          <w:szCs w:val="21"/>
        </w:rPr>
        <w:t>数字图像存储系统</w:t>
      </w:r>
    </w:p>
    <w:p>
      <w:pPr>
        <w:spacing w:line="360" w:lineRule="auto"/>
        <w:ind w:firstLine="420" w:firstLineChars="200"/>
        <w:jc w:val="left"/>
        <w:rPr>
          <w:rFonts w:ascii="宋体" w:hAnsi="宋体" w:hint="eastAsia"/>
          <w:szCs w:val="21"/>
        </w:rPr>
      </w:pPr>
      <w:r>
        <w:rPr>
          <w:rFonts w:ascii="宋体" w:hAnsi="宋体" w:hint="eastAsia"/>
          <w:szCs w:val="21"/>
        </w:rPr>
        <w:t>1）存储方式</w:t>
      </w:r>
    </w:p>
    <w:p>
      <w:pPr>
        <w:spacing w:line="360" w:lineRule="auto"/>
        <w:ind w:firstLine="420" w:firstLineChars="200"/>
        <w:jc w:val="left"/>
        <w:rPr>
          <w:rFonts w:ascii="宋体" w:hAnsi="宋体" w:hint="eastAsia"/>
          <w:szCs w:val="21"/>
        </w:rPr>
      </w:pPr>
      <w:r>
        <w:rPr>
          <w:rFonts w:ascii="宋体" w:hAnsi="宋体" w:hint="eastAsia"/>
          <w:szCs w:val="21"/>
        </w:rPr>
        <w:t>数字图像采用前端存储，确保不会因为网络问题导致的存储图像的完整性问题，支持远程授权调取数字图像资源。</w:t>
      </w:r>
    </w:p>
    <w:p>
      <w:pPr>
        <w:spacing w:line="360" w:lineRule="auto"/>
        <w:ind w:firstLine="420" w:firstLineChars="200"/>
        <w:jc w:val="left"/>
        <w:rPr>
          <w:rFonts w:ascii="宋体" w:hAnsi="宋体" w:hint="eastAsia"/>
          <w:szCs w:val="21"/>
        </w:rPr>
      </w:pPr>
      <w:r>
        <w:rPr>
          <w:rFonts w:ascii="宋体" w:hAnsi="宋体" w:hint="eastAsia"/>
          <w:szCs w:val="21"/>
        </w:rPr>
        <w:t>2）一般要求</w:t>
      </w:r>
    </w:p>
    <w:p>
      <w:pPr>
        <w:spacing w:line="360" w:lineRule="auto"/>
        <w:ind w:firstLine="420" w:firstLineChars="200"/>
        <w:jc w:val="left"/>
        <w:rPr>
          <w:rFonts w:ascii="宋体" w:hAnsi="宋体" w:hint="eastAsia"/>
          <w:szCs w:val="21"/>
        </w:rPr>
      </w:pPr>
      <w:r>
        <w:rPr>
          <w:rFonts w:ascii="宋体" w:hAnsi="宋体" w:hint="eastAsia"/>
          <w:szCs w:val="21"/>
        </w:rPr>
        <w:t>前端存储的数字图像分辨率应不低于720P。在使用文件方式存储时，每个存储图像文件的大小不大于200M或记录时长应小于等于1800秒。 连续存储的图像文件之间不能丢失图像信息。</w:t>
      </w:r>
    </w:p>
    <w:p>
      <w:pPr>
        <w:spacing w:line="360" w:lineRule="auto"/>
        <w:ind w:firstLine="420" w:firstLineChars="200"/>
        <w:jc w:val="left"/>
        <w:rPr>
          <w:rFonts w:ascii="宋体" w:hAnsi="宋体" w:hint="eastAsia"/>
          <w:szCs w:val="21"/>
        </w:rPr>
      </w:pPr>
      <w:r>
        <w:rPr>
          <w:rFonts w:ascii="宋体" w:hAnsi="宋体" w:hint="eastAsia"/>
          <w:szCs w:val="21"/>
        </w:rPr>
        <w:t>3）存储时间</w:t>
      </w:r>
    </w:p>
    <w:p>
      <w:pPr>
        <w:spacing w:line="360" w:lineRule="auto"/>
        <w:ind w:firstLine="420" w:firstLineChars="200"/>
        <w:jc w:val="left"/>
        <w:rPr>
          <w:rFonts w:ascii="宋体" w:hAnsi="宋体" w:hint="eastAsia"/>
          <w:szCs w:val="21"/>
        </w:rPr>
      </w:pPr>
      <w:r>
        <w:rPr>
          <w:rFonts w:ascii="宋体" w:hAnsi="宋体" w:hint="eastAsia"/>
          <w:szCs w:val="21"/>
        </w:rPr>
        <w:t>前端图像存储时间应不少于15天。</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2</w:t>
      </w:r>
      <w:r>
        <w:rPr>
          <w:rFonts w:ascii="宋体" w:hAnsi="宋体" w:hint="eastAsia"/>
          <w:szCs w:val="21"/>
          <w:lang w:eastAsia="zh-CN"/>
        </w:rPr>
        <w:t>）</w:t>
      </w:r>
      <w:r>
        <w:rPr>
          <w:rFonts w:ascii="宋体" w:hAnsi="宋体" w:hint="eastAsia"/>
          <w:szCs w:val="21"/>
        </w:rPr>
        <w:t>数字图像回放系统</w:t>
      </w:r>
    </w:p>
    <w:p>
      <w:pPr>
        <w:spacing w:line="360" w:lineRule="auto"/>
        <w:ind w:firstLine="420" w:firstLineChars="200"/>
        <w:jc w:val="left"/>
        <w:rPr>
          <w:rFonts w:ascii="宋体" w:hAnsi="宋体" w:hint="eastAsia"/>
          <w:szCs w:val="21"/>
        </w:rPr>
      </w:pPr>
      <w:r>
        <w:rPr>
          <w:rFonts w:ascii="宋体" w:hAnsi="宋体" w:hint="eastAsia"/>
          <w:szCs w:val="21"/>
        </w:rPr>
        <w:t>1）检索方式</w:t>
      </w:r>
    </w:p>
    <w:p>
      <w:pPr>
        <w:spacing w:line="360" w:lineRule="auto"/>
        <w:ind w:firstLine="420" w:firstLineChars="200"/>
        <w:jc w:val="left"/>
        <w:rPr>
          <w:rFonts w:ascii="宋体" w:hAnsi="宋体" w:hint="eastAsia"/>
          <w:szCs w:val="21"/>
        </w:rPr>
      </w:pPr>
      <w:r>
        <w:rPr>
          <w:rFonts w:ascii="宋体" w:hAnsi="宋体" w:hint="eastAsia"/>
          <w:szCs w:val="21"/>
        </w:rPr>
        <w:t>录像文件、违规智能分析结果数据及原始视频检索响应时间应不超过10秒。</w:t>
      </w:r>
    </w:p>
    <w:p>
      <w:pPr>
        <w:spacing w:line="360" w:lineRule="auto"/>
        <w:ind w:firstLine="420" w:firstLineChars="200"/>
        <w:jc w:val="left"/>
        <w:rPr>
          <w:rFonts w:ascii="宋体" w:hAnsi="宋体" w:hint="eastAsia"/>
          <w:szCs w:val="21"/>
        </w:rPr>
      </w:pPr>
      <w:r>
        <w:rPr>
          <w:rFonts w:ascii="宋体" w:hAnsi="宋体" w:hint="eastAsia"/>
          <w:szCs w:val="21"/>
        </w:rPr>
        <w:t>2）播放控制</w:t>
      </w:r>
    </w:p>
    <w:p>
      <w:pPr>
        <w:spacing w:line="360" w:lineRule="auto"/>
        <w:ind w:firstLine="420" w:firstLineChars="200"/>
        <w:jc w:val="left"/>
        <w:rPr>
          <w:rFonts w:ascii="宋体" w:hAnsi="宋体" w:hint="eastAsia"/>
          <w:szCs w:val="21"/>
        </w:rPr>
      </w:pPr>
      <w:r>
        <w:rPr>
          <w:rFonts w:ascii="宋体" w:hAnsi="宋体" w:hint="eastAsia"/>
          <w:szCs w:val="21"/>
        </w:rPr>
        <w:t>录像文件应支持正常速度播放、快放、慢放、单帧前进和后退、进度拖动、抓拍、暂停等功能。</w:t>
      </w:r>
    </w:p>
    <w:p>
      <w:pPr>
        <w:spacing w:line="360" w:lineRule="auto"/>
        <w:ind w:firstLine="420" w:firstLineChars="200"/>
        <w:jc w:val="left"/>
        <w:rPr>
          <w:rFonts w:ascii="宋体" w:hAnsi="宋体" w:hint="eastAsia"/>
          <w:szCs w:val="21"/>
        </w:rPr>
      </w:pPr>
      <w:r>
        <w:rPr>
          <w:rFonts w:ascii="宋体" w:hAnsi="宋体" w:hint="eastAsia"/>
          <w:szCs w:val="21"/>
        </w:rPr>
        <w:t>3）远程回放</w:t>
      </w:r>
    </w:p>
    <w:p>
      <w:pPr>
        <w:spacing w:line="360" w:lineRule="auto"/>
        <w:ind w:firstLine="420" w:firstLineChars="200"/>
        <w:jc w:val="left"/>
        <w:rPr>
          <w:rFonts w:ascii="宋体" w:hAnsi="宋体" w:hint="eastAsia"/>
          <w:szCs w:val="21"/>
        </w:rPr>
      </w:pPr>
      <w:r>
        <w:rPr>
          <w:rFonts w:ascii="宋体" w:hAnsi="宋体" w:hint="eastAsia"/>
          <w:szCs w:val="21"/>
        </w:rPr>
        <w:t>录像文件应支持远程在线回放。</w:t>
      </w:r>
    </w:p>
    <w:p>
      <w:pPr>
        <w:spacing w:line="360" w:lineRule="auto"/>
        <w:ind w:firstLine="420" w:firstLineChars="200"/>
        <w:jc w:val="left"/>
        <w:rPr>
          <w:rFonts w:ascii="宋体" w:hAnsi="宋体" w:hint="eastAsia"/>
          <w:szCs w:val="21"/>
        </w:rPr>
      </w:pPr>
      <w:r>
        <w:rPr>
          <w:rFonts w:ascii="宋体" w:hAnsi="宋体" w:hint="eastAsia"/>
          <w:szCs w:val="21"/>
        </w:rPr>
        <w:t>4）录像下载</w:t>
      </w:r>
    </w:p>
    <w:p>
      <w:pPr>
        <w:spacing w:line="360" w:lineRule="auto"/>
        <w:ind w:firstLine="420" w:firstLineChars="200"/>
        <w:jc w:val="left"/>
        <w:rPr>
          <w:rFonts w:ascii="宋体" w:hAnsi="宋体" w:hint="eastAsia"/>
          <w:szCs w:val="21"/>
        </w:rPr>
      </w:pPr>
      <w:r>
        <w:rPr>
          <w:rFonts w:ascii="宋体" w:hAnsi="宋体" w:hint="eastAsia"/>
          <w:szCs w:val="21"/>
        </w:rPr>
        <w:t>录像应支持下载功能。</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8.</w:t>
      </w:r>
      <w:r>
        <w:rPr>
          <w:rFonts w:ascii="宋体" w:hAnsi="宋体" w:hint="eastAsia"/>
          <w:b/>
          <w:bCs/>
          <w:szCs w:val="21"/>
        </w:rPr>
        <w:t>展示屏展示内容管理要求</w:t>
      </w:r>
    </w:p>
    <w:p>
      <w:pPr>
        <w:spacing w:line="360" w:lineRule="auto"/>
        <w:ind w:firstLine="420" w:firstLineChars="200"/>
        <w:jc w:val="left"/>
        <w:rPr>
          <w:rFonts w:ascii="宋体" w:hAnsi="宋体" w:hint="eastAsia"/>
          <w:szCs w:val="21"/>
        </w:rPr>
      </w:pPr>
      <w:r>
        <w:rPr>
          <w:rFonts w:ascii="宋体" w:hAnsi="宋体" w:hint="eastAsia"/>
          <w:szCs w:val="21"/>
        </w:rPr>
        <w:t>展示屏后端数据管控平台，能够根据市、区、所权限，对各个展示屏内容进行独立管控，包括各类宣传内容、通知公告、培训科普视频、量化等级等内容。并能根据区划设立对应区局或监管所控制权限。展示数据内容应进行加密处理，防止篡改。平台需能够统计各类前端展示屏设备上线状态，每天开机时长，设备异常情况，并能够针对设备异常情况进行报警或预警。支持远程定时开关机设定及自动升级等功能。包括：1.监控画面轮巡展示；2.通知公告宣传展示；3.多媒体通知公告展示；4.量化等级展示；5.其它类型展示等。</w:t>
      </w:r>
    </w:p>
    <w:p>
      <w:pPr>
        <w:spacing w:line="360" w:lineRule="auto"/>
        <w:ind w:firstLine="420" w:firstLineChars="200"/>
        <w:jc w:val="left"/>
        <w:rPr>
          <w:rFonts w:ascii="宋体" w:hAnsi="宋体" w:hint="eastAsia"/>
          <w:szCs w:val="21"/>
        </w:rPr>
      </w:pPr>
      <w:r>
        <w:rPr>
          <w:rFonts w:ascii="宋体" w:hAnsi="宋体" w:hint="eastAsia"/>
          <w:szCs w:val="21"/>
        </w:rPr>
        <w:t>图例参考如下：</w:t>
      </w:r>
    </w:p>
    <w:p>
      <w:pPr>
        <w:rPr>
          <w:rFonts w:ascii="宋体" w:hAnsi="宋体" w:hint="eastAsia"/>
          <w:szCs w:val="21"/>
        </w:rPr>
      </w:pPr>
      <w:r>
        <w:rPr>
          <w:rFonts w:ascii="仿宋_GB2312" w:eastAsia="仿宋_GB2312" w:hAnsi="仿宋_GB2312" w:cs="仿宋_GB2312" w:hint="eastAsia"/>
          <w:color w:val="000000"/>
          <w:sz w:val="28"/>
          <w:szCs w:val="28"/>
          <w:highlight w:val="none"/>
        </w:rPr>
        <w:drawing>
          <wp:inline distT="0" distB="0" distL="114300" distR="114300">
            <wp:extent cx="2529205" cy="1743075"/>
            <wp:effectExtent l="0" t="0" r="4445" b="952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xmlns:r="http://schemas.openxmlformats.org/officeDocument/2006/relationships" r:embed="rId7"/>
                    <a:stretch>
                      <a:fillRect/>
                    </a:stretch>
                  </pic:blipFill>
                  <pic:spPr>
                    <a:xfrm>
                      <a:off x="0" y="0"/>
                      <a:ext cx="2529205" cy="1743075"/>
                    </a:xfrm>
                    <a:prstGeom prst="rect">
                      <a:avLst/>
                    </a:prstGeom>
                    <a:noFill/>
                    <a:ln>
                      <a:noFill/>
                    </a:ln>
                  </pic:spPr>
                </pic:pic>
              </a:graphicData>
            </a:graphic>
          </wp:inline>
        </w:drawing>
      </w:r>
      <w:r>
        <w:rPr>
          <w:rFonts w:ascii="仿宋_GB2312" w:eastAsia="仿宋_GB2312" w:hAnsi="仿宋_GB2312" w:cs="仿宋_GB2312" w:hint="eastAsia"/>
          <w:color w:val="000000"/>
          <w:sz w:val="28"/>
          <w:szCs w:val="28"/>
          <w:highlight w:val="none"/>
        </w:rPr>
        <w:drawing>
          <wp:inline distT="0" distB="0" distL="114300" distR="114300">
            <wp:extent cx="2425700" cy="1765300"/>
            <wp:effectExtent l="0" t="0" r="12700" b="635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xmlns:r="http://schemas.openxmlformats.org/officeDocument/2006/relationships" r:embed="rId8"/>
                    <a:stretch>
                      <a:fillRect/>
                    </a:stretch>
                  </pic:blipFill>
                  <pic:spPr>
                    <a:xfrm>
                      <a:off x="0" y="0"/>
                      <a:ext cx="2425700" cy="1765300"/>
                    </a:xfrm>
                    <a:prstGeom prst="rect">
                      <a:avLst/>
                    </a:prstGeom>
                    <a:noFill/>
                    <a:ln>
                      <a:noFill/>
                    </a:ln>
                  </pic:spPr>
                </pic:pic>
              </a:graphicData>
            </a:graphic>
          </wp:inline>
        </w:drawing>
      </w:r>
    </w:p>
    <w:p>
      <w:pPr>
        <w:spacing w:line="360" w:lineRule="auto"/>
        <w:ind w:firstLine="420" w:firstLineChars="200"/>
        <w:jc w:val="left"/>
        <w:rPr>
          <w:rFonts w:ascii="宋体" w:hAnsi="宋体" w:hint="eastAsia"/>
          <w:b/>
          <w:bCs/>
          <w:szCs w:val="21"/>
          <w:lang w:val="en-US" w:eastAsia="zh-CN"/>
        </w:rPr>
      </w:pPr>
      <w:r>
        <w:rPr>
          <w:rFonts w:ascii="宋体" w:hAnsi="宋体" w:hint="eastAsia"/>
          <w:b/>
          <w:bCs/>
          <w:szCs w:val="21"/>
          <w:lang w:val="en-US" w:eastAsia="zh-CN"/>
        </w:rPr>
        <w:t>（五）信息安全要求</w:t>
      </w:r>
    </w:p>
    <w:p>
      <w:pPr>
        <w:spacing w:line="360" w:lineRule="auto"/>
        <w:ind w:firstLine="420" w:firstLineChars="200"/>
        <w:jc w:val="left"/>
        <w:rPr>
          <w:rFonts w:ascii="宋体" w:hAnsi="宋体" w:hint="eastAsia"/>
          <w:szCs w:val="21"/>
        </w:rPr>
      </w:pPr>
      <w:r>
        <w:rPr>
          <w:rFonts w:ascii="宋体" w:hAnsi="宋体" w:hint="eastAsia"/>
          <w:szCs w:val="21"/>
          <w:lang w:val="en-US" w:eastAsia="zh-CN"/>
        </w:rPr>
        <w:t>1.</w:t>
      </w:r>
      <w:r>
        <w:rPr>
          <w:rFonts w:ascii="宋体" w:hAnsi="宋体" w:hint="eastAsia"/>
          <w:szCs w:val="21"/>
        </w:rPr>
        <w:t>提供“互联网+明厨亮灶”视频监管服务的系统的应用应建立在授权的基础之上，所有对数据访问的请求必须先经过系统的授权，包括但不限于：设备接入授权、用户访问账号和权限校验、直播账号和权限校验等。</w:t>
      </w:r>
    </w:p>
    <w:p>
      <w:pPr>
        <w:pStyle w:val="BodyText"/>
        <w:jc w:val="center"/>
        <w:rPr>
          <w:rFonts w:ascii="宋体" w:hAnsi="宋体" w:hint="eastAsia"/>
          <w:szCs w:val="21"/>
        </w:rPr>
      </w:pPr>
      <w:r>
        <w:rPr>
          <w:rFonts w:ascii="仿宋_GB2312" w:eastAsia="仿宋_GB2312" w:hAnsi="仿宋_GB2312" w:cs="仿宋_GB2312" w:hint="eastAsia"/>
          <w:color w:val="000000"/>
          <w:sz w:val="28"/>
          <w:szCs w:val="28"/>
          <w:highlight w:val="none"/>
        </w:rPr>
        <w:drawing>
          <wp:inline distT="0" distB="0" distL="114300" distR="114300">
            <wp:extent cx="4736465" cy="2047240"/>
            <wp:effectExtent l="0" t="0" r="6985" b="10160"/>
            <wp:docPr id="7" name="图片 4" descr="认证授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认证授权.jpg"/>
                    <pic:cNvPicPr>
                      <a:picLocks noChangeAspect="1"/>
                    </pic:cNvPicPr>
                  </pic:nvPicPr>
                  <pic:blipFill>
                    <a:blip xmlns:r="http://schemas.openxmlformats.org/officeDocument/2006/relationships" r:embed="rId9"/>
                    <a:stretch>
                      <a:fillRect/>
                    </a:stretch>
                  </pic:blipFill>
                  <pic:spPr>
                    <a:xfrm>
                      <a:off x="0" y="0"/>
                      <a:ext cx="4736465" cy="2047240"/>
                    </a:xfrm>
                    <a:prstGeom prst="rect">
                      <a:avLst/>
                    </a:prstGeom>
                    <a:noFill/>
                    <a:ln>
                      <a:noFill/>
                    </a:ln>
                  </pic:spPr>
                </pic:pic>
              </a:graphicData>
            </a:graphic>
          </wp:inline>
        </w:drawing>
      </w:r>
    </w:p>
    <w:p>
      <w:pPr>
        <w:pStyle w:val="BodyText"/>
        <w:rPr>
          <w:rFonts w:ascii="宋体" w:hAnsi="宋体" w:hint="eastAsia"/>
          <w:szCs w:val="21"/>
        </w:rPr>
      </w:pPr>
    </w:p>
    <w:p>
      <w:pPr>
        <w:spacing w:line="360" w:lineRule="auto"/>
        <w:ind w:firstLine="420" w:firstLineChars="200"/>
        <w:jc w:val="left"/>
        <w:rPr>
          <w:rFonts w:ascii="宋体" w:hAnsi="宋体" w:hint="eastAsia"/>
          <w:szCs w:val="21"/>
        </w:rPr>
      </w:pPr>
      <w:r>
        <w:rPr>
          <w:rFonts w:ascii="宋体" w:hAnsi="宋体" w:hint="eastAsia"/>
          <w:szCs w:val="21"/>
        </w:rPr>
        <w:t>对于有视频安全性特殊需求的视频采集点，应具备视频数据加密能力。</w:t>
      </w:r>
    </w:p>
    <w:p>
      <w:pPr>
        <w:spacing w:line="360" w:lineRule="auto"/>
        <w:ind w:firstLine="420" w:firstLineChars="200"/>
        <w:jc w:val="left"/>
        <w:rPr>
          <w:rFonts w:ascii="宋体" w:hAnsi="宋体" w:hint="eastAsia"/>
          <w:szCs w:val="21"/>
        </w:rPr>
      </w:pPr>
      <w:r>
        <w:rPr>
          <w:rFonts w:ascii="宋体" w:hAnsi="宋体" w:hint="eastAsia"/>
          <w:szCs w:val="21"/>
          <w:lang w:val="en-US" w:eastAsia="zh-CN"/>
        </w:rPr>
        <w:t>2.</w:t>
      </w:r>
      <w:r>
        <w:rPr>
          <w:rFonts w:ascii="宋体" w:hAnsi="宋体" w:hint="eastAsia"/>
          <w:szCs w:val="21"/>
        </w:rPr>
        <w:t>视频数据只能单方向服务采购商，不得用作其它用途。</w:t>
      </w:r>
    </w:p>
    <w:p>
      <w:pPr>
        <w:spacing w:line="360" w:lineRule="auto"/>
        <w:ind w:firstLine="420" w:firstLineChars="200"/>
        <w:jc w:val="left"/>
        <w:rPr>
          <w:rFonts w:ascii="宋体" w:hAnsi="宋体" w:hint="eastAsia"/>
          <w:szCs w:val="21"/>
        </w:rPr>
      </w:pPr>
      <w:r>
        <w:rPr>
          <w:rFonts w:ascii="宋体" w:hAnsi="宋体" w:hint="eastAsia"/>
          <w:szCs w:val="21"/>
          <w:lang w:val="en-US" w:eastAsia="zh-CN"/>
        </w:rPr>
        <w:t>3.</w:t>
      </w:r>
      <w:r>
        <w:rPr>
          <w:rFonts w:ascii="宋体" w:hAnsi="宋体" w:hint="eastAsia"/>
          <w:szCs w:val="21"/>
        </w:rPr>
        <w:t>展示屏安全性及稳定性要求</w:t>
      </w:r>
    </w:p>
    <w:p>
      <w:pPr>
        <w:spacing w:line="360" w:lineRule="auto"/>
        <w:ind w:firstLine="420" w:firstLineChars="200"/>
        <w:jc w:val="left"/>
        <w:rPr>
          <w:rFonts w:ascii="宋体" w:hAnsi="宋体" w:hint="eastAsia"/>
          <w:szCs w:val="21"/>
        </w:rPr>
      </w:pPr>
      <w:r>
        <w:rPr>
          <w:rFonts w:ascii="宋体" w:hAnsi="宋体" w:hint="eastAsia"/>
          <w:szCs w:val="21"/>
        </w:rPr>
        <w:t>展示屏布置在餐厅大堂区域，为节省占地空间及确保设备安全及公共安全，应采用壁挂形式或支架吊装形式。餐企大厅属人员密集形场所，屏幕面板应采用钢化玻璃面板进行保护，保障显示效果及避免屏幕因人为因素损坏。为保障设备长期稳定运行，应采用工业级标准全金属机身，保障散热及设备稳定性。屏幕设备各类接口不能外露，通过检修盖板遮蔽，并配备独立维护锁，避免人为损坏。</w:t>
      </w:r>
    </w:p>
    <w:p>
      <w:pPr>
        <w:spacing w:line="360" w:lineRule="auto"/>
        <w:ind w:firstLine="420" w:firstLineChars="200"/>
        <w:jc w:val="left"/>
        <w:rPr>
          <w:rFonts w:ascii="宋体" w:hAnsi="宋体" w:hint="eastAsia"/>
          <w:szCs w:val="21"/>
        </w:rPr>
      </w:pPr>
      <w:r>
        <w:rPr>
          <w:rFonts w:ascii="宋体" w:hAnsi="宋体" w:hint="eastAsia"/>
          <w:szCs w:val="21"/>
        </w:rPr>
        <w:t>托幼机构展示设备应安装在方便家长观看的对外开放场所醒目位置，例如校门口、保安亭外、家长接送孩子的等候室或休息室。</w:t>
      </w:r>
    </w:p>
    <w:p>
      <w:pPr>
        <w:spacing w:line="360" w:lineRule="auto"/>
        <w:ind w:firstLine="420" w:firstLineChars="200"/>
        <w:jc w:val="left"/>
        <w:rPr>
          <w:rFonts w:ascii="宋体" w:hAnsi="宋体" w:hint="eastAsia"/>
          <w:szCs w:val="21"/>
        </w:rPr>
      </w:pPr>
      <w:r>
        <w:rPr>
          <w:rFonts w:ascii="宋体" w:hAnsi="宋体" w:hint="eastAsia"/>
          <w:szCs w:val="21"/>
          <w:lang w:val="en-US" w:eastAsia="zh-CN"/>
        </w:rPr>
        <w:t>4.</w:t>
      </w:r>
      <w:r>
        <w:rPr>
          <w:rFonts w:ascii="宋体" w:hAnsi="宋体" w:hint="eastAsia"/>
          <w:szCs w:val="21"/>
        </w:rPr>
        <w:t>数据统一性要求</w:t>
      </w:r>
    </w:p>
    <w:p>
      <w:pPr>
        <w:spacing w:line="360" w:lineRule="auto"/>
        <w:ind w:firstLine="420" w:firstLineChars="200"/>
        <w:jc w:val="left"/>
        <w:rPr>
          <w:rFonts w:ascii="宋体" w:hAnsi="宋体" w:hint="eastAsia"/>
          <w:szCs w:val="21"/>
        </w:rPr>
      </w:pPr>
      <w:r>
        <w:rPr>
          <w:rFonts w:ascii="宋体" w:hAnsi="宋体" w:hint="eastAsia"/>
          <w:szCs w:val="21"/>
        </w:rPr>
        <w:t>为确保数据权威性，准确性，安全性，有利于后期数据扩展及形成完整流程闭环，展示屏后端数据管控平台必须由市场监管</w:t>
      </w:r>
      <w:r>
        <w:rPr>
          <w:rFonts w:ascii="宋体" w:hAnsi="宋体" w:hint="eastAsia"/>
          <w:szCs w:val="21"/>
          <w:lang w:val="en-US" w:eastAsia="zh-CN"/>
        </w:rPr>
        <w:t>局</w:t>
      </w:r>
      <w:r>
        <w:rPr>
          <w:rFonts w:ascii="宋体" w:hAnsi="宋体" w:hint="eastAsia"/>
          <w:szCs w:val="21"/>
        </w:rPr>
        <w:t>统一，不能采用分级平台或其它转接方式进行数据对接。原有各类广告公司屏幕涉及到量化等级等核心数据的应由市场监管</w:t>
      </w:r>
      <w:r>
        <w:rPr>
          <w:rFonts w:ascii="宋体" w:hAnsi="宋体" w:hint="eastAsia"/>
          <w:szCs w:val="21"/>
          <w:lang w:val="en-US" w:eastAsia="zh-CN"/>
        </w:rPr>
        <w:t>局</w:t>
      </w:r>
      <w:r>
        <w:rPr>
          <w:rFonts w:ascii="宋体" w:hAnsi="宋体" w:hint="eastAsia"/>
          <w:szCs w:val="21"/>
        </w:rPr>
        <w:t>统一进行管控。</w:t>
      </w:r>
    </w:p>
    <w:p>
      <w:pPr>
        <w:spacing w:line="360" w:lineRule="auto"/>
        <w:ind w:firstLine="420" w:firstLineChars="200"/>
        <w:jc w:val="left"/>
        <w:rPr>
          <w:rFonts w:ascii="宋体" w:hAnsi="宋体" w:hint="eastAsia"/>
          <w:b/>
          <w:bCs/>
          <w:szCs w:val="21"/>
          <w:lang w:val="en-US" w:eastAsia="zh-CN"/>
        </w:rPr>
      </w:pPr>
      <w:r>
        <w:rPr>
          <w:rFonts w:ascii="宋体" w:hAnsi="宋体" w:hint="eastAsia"/>
          <w:b/>
          <w:bCs/>
          <w:szCs w:val="21"/>
          <w:lang w:val="en-US" w:eastAsia="zh-CN"/>
        </w:rPr>
        <w:t>（六）主辅材配置最低要求</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1.</w:t>
      </w:r>
      <w:r>
        <w:rPr>
          <w:rFonts w:ascii="宋体" w:hAnsi="宋体" w:hint="eastAsia"/>
          <w:b/>
          <w:bCs/>
          <w:szCs w:val="21"/>
        </w:rPr>
        <w:t>新装类和改装类主辅材配置要求</w:t>
      </w:r>
    </w:p>
    <w:tbl>
      <w:tblPr>
        <w:tblStyle w:val="TableNormal"/>
        <w:tblW w:w="9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694"/>
        <w:gridCol w:w="1343"/>
        <w:gridCol w:w="4463"/>
        <w:gridCol w:w="1662"/>
        <w:gridCol w:w="1055"/>
      </w:tblGrid>
      <w:tr>
        <w:tblPrEx>
          <w:tblW w:w="9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416"/>
          <w:jc w:val="center"/>
        </w:trPr>
        <w:tc>
          <w:tcPr>
            <w:tcW w:w="694" w:type="dxa"/>
            <w:shd w:val="clear" w:color="000000" w:fill="E7E6E6"/>
            <w:noWrap w:val="0"/>
            <w:vAlign w:val="center"/>
          </w:tcPr>
          <w:p>
            <w:pPr>
              <w:spacing w:line="240" w:lineRule="auto"/>
              <w:jc w:val="center"/>
              <w:rPr>
                <w:rFonts w:ascii="宋体" w:eastAsia="宋体" w:hAnsi="宋体" w:cs="宋体" w:hint="eastAsia"/>
                <w:b/>
                <w:bCs w:val="0"/>
                <w:color w:val="000000"/>
                <w:sz w:val="21"/>
                <w:szCs w:val="21"/>
                <w:highlight w:val="none"/>
                <w:u w:val="double"/>
              </w:rPr>
            </w:pPr>
            <w:bookmarkStart w:id="9" w:name="_GoBack"/>
            <w:r>
              <w:rPr>
                <w:rFonts w:ascii="宋体" w:eastAsia="宋体" w:hAnsi="宋体" w:cs="宋体" w:hint="eastAsia"/>
                <w:b/>
                <w:bCs w:val="0"/>
                <w:color w:val="000000"/>
                <w:sz w:val="21"/>
                <w:szCs w:val="21"/>
                <w:highlight w:val="none"/>
                <w:u w:val="double"/>
              </w:rPr>
              <w:t>序号</w:t>
            </w:r>
          </w:p>
        </w:tc>
        <w:tc>
          <w:tcPr>
            <w:tcW w:w="1343" w:type="dxa"/>
            <w:shd w:val="clear" w:color="000000" w:fill="E7E6E6"/>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项目</w:t>
            </w:r>
          </w:p>
        </w:tc>
        <w:tc>
          <w:tcPr>
            <w:tcW w:w="4463" w:type="dxa"/>
            <w:shd w:val="clear" w:color="000000" w:fill="E7E6E6"/>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参数说明</w:t>
            </w:r>
          </w:p>
        </w:tc>
        <w:tc>
          <w:tcPr>
            <w:tcW w:w="1662" w:type="dxa"/>
            <w:shd w:val="clear" w:color="000000" w:fill="E7E6E6"/>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数量</w:t>
            </w:r>
          </w:p>
        </w:tc>
        <w:tc>
          <w:tcPr>
            <w:tcW w:w="1055" w:type="dxa"/>
            <w:shd w:val="clear" w:color="000000" w:fill="E7E6E6"/>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单位</w:t>
            </w:r>
          </w:p>
        </w:tc>
      </w:tr>
      <w:tr>
        <w:tblPrEx>
          <w:tblW w:w="9217" w:type="dxa"/>
          <w:jc w:val="center"/>
          <w:tblLayout w:type="fixed"/>
          <w:tblCellMar>
            <w:top w:w="0" w:type="dxa"/>
            <w:left w:w="108" w:type="dxa"/>
            <w:bottom w:w="0" w:type="dxa"/>
            <w:right w:w="108" w:type="dxa"/>
          </w:tblCellMar>
        </w:tblPrEx>
        <w:trPr>
          <w:trHeight w:val="554"/>
          <w:jc w:val="center"/>
        </w:trPr>
        <w:tc>
          <w:tcPr>
            <w:tcW w:w="694"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1</w:t>
            </w:r>
          </w:p>
        </w:tc>
        <w:tc>
          <w:tcPr>
            <w:tcW w:w="1343"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POE摄像头</w:t>
            </w: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200万</w:t>
            </w:r>
            <w:r>
              <w:rPr>
                <w:rFonts w:ascii="宋体" w:hAnsi="宋体" w:cs="宋体" w:hint="eastAsia"/>
                <w:b/>
                <w:bCs w:val="0"/>
                <w:color w:val="000000"/>
                <w:sz w:val="21"/>
                <w:szCs w:val="21"/>
                <w:highlight w:val="none"/>
                <w:u w:val="double"/>
                <w:lang w:val="en-US" w:eastAsia="zh-CN"/>
              </w:rPr>
              <w:t>或以上</w:t>
            </w:r>
            <w:r>
              <w:rPr>
                <w:rFonts w:ascii="宋体" w:eastAsia="宋体" w:hAnsi="宋体" w:cs="宋体" w:hint="eastAsia"/>
                <w:b/>
                <w:bCs w:val="0"/>
                <w:color w:val="000000"/>
                <w:sz w:val="21"/>
                <w:szCs w:val="21"/>
                <w:highlight w:val="none"/>
                <w:u w:val="double"/>
              </w:rPr>
              <w:t>，1080P</w:t>
            </w:r>
            <w:r>
              <w:rPr>
                <w:rFonts w:ascii="宋体" w:hAnsi="宋体" w:cs="宋体" w:hint="eastAsia"/>
                <w:b/>
                <w:bCs w:val="0"/>
                <w:color w:val="000000"/>
                <w:sz w:val="21"/>
                <w:szCs w:val="21"/>
                <w:highlight w:val="none"/>
                <w:u w:val="double"/>
                <w:lang w:val="en-US" w:eastAsia="zh-CN"/>
              </w:rPr>
              <w:t>或以上</w:t>
            </w:r>
            <w:r>
              <w:rPr>
                <w:rFonts w:ascii="宋体" w:eastAsia="宋体" w:hAnsi="宋体" w:cs="宋体" w:hint="eastAsia"/>
                <w:b/>
                <w:bCs w:val="0"/>
                <w:color w:val="000000"/>
                <w:sz w:val="21"/>
                <w:szCs w:val="21"/>
                <w:highlight w:val="none"/>
                <w:u w:val="double"/>
              </w:rPr>
              <w:t>，红外夜视，防油污，IP66</w:t>
            </w:r>
            <w:r>
              <w:rPr>
                <w:rFonts w:ascii="宋体" w:hAnsi="宋体" w:cs="宋体" w:hint="eastAsia"/>
                <w:b/>
                <w:bCs w:val="0"/>
                <w:color w:val="000000"/>
                <w:sz w:val="21"/>
                <w:szCs w:val="21"/>
                <w:highlight w:val="none"/>
                <w:u w:val="double"/>
                <w:lang w:val="en-US" w:eastAsia="zh-CN"/>
              </w:rPr>
              <w:t>或以上</w:t>
            </w:r>
            <w:r>
              <w:rPr>
                <w:rFonts w:ascii="宋体" w:eastAsia="宋体" w:hAnsi="宋体" w:cs="宋体" w:hint="eastAsia"/>
                <w:b/>
                <w:bCs w:val="0"/>
                <w:color w:val="000000"/>
                <w:sz w:val="21"/>
                <w:szCs w:val="21"/>
                <w:highlight w:val="none"/>
                <w:u w:val="double"/>
              </w:rPr>
              <w:t>防护等级，支持无线接入</w:t>
            </w:r>
          </w:p>
        </w:tc>
        <w:tc>
          <w:tcPr>
            <w:tcW w:w="1662" w:type="dxa"/>
            <w:noWrap w:val="0"/>
            <w:vAlign w:val="center"/>
          </w:tcPr>
          <w:p>
            <w:pPr>
              <w:spacing w:line="240" w:lineRule="auto"/>
              <w:jc w:val="center"/>
              <w:rPr>
                <w:rFonts w:ascii="宋体" w:eastAsia="宋体" w:hAnsi="宋体" w:cs="宋体" w:hint="default"/>
                <w:b/>
                <w:bCs w:val="0"/>
                <w:color w:val="000000"/>
                <w:sz w:val="21"/>
                <w:szCs w:val="21"/>
                <w:highlight w:val="none"/>
                <w:u w:val="double"/>
                <w:lang w:val="en-US" w:eastAsia="zh-CN"/>
              </w:rPr>
            </w:pPr>
            <w:r>
              <w:rPr>
                <w:rFonts w:ascii="宋体" w:eastAsia="宋体" w:hAnsi="宋体" w:cs="宋体" w:hint="eastAsia"/>
                <w:b/>
                <w:bCs w:val="0"/>
                <w:color w:val="000000"/>
                <w:sz w:val="21"/>
                <w:szCs w:val="21"/>
                <w:highlight w:val="none"/>
                <w:u w:val="double"/>
              </w:rPr>
              <w:t>5</w:t>
            </w:r>
            <w:r>
              <w:rPr>
                <w:rFonts w:ascii="宋体" w:hAnsi="宋体" w:cs="宋体" w:hint="eastAsia"/>
                <w:b/>
                <w:bCs w:val="0"/>
                <w:color w:val="000000"/>
                <w:sz w:val="21"/>
                <w:szCs w:val="21"/>
                <w:highlight w:val="none"/>
                <w:u w:val="double"/>
                <w:lang w:eastAsia="zh-CN"/>
              </w:rPr>
              <w:t>（</w:t>
            </w:r>
            <w:r>
              <w:rPr>
                <w:rFonts w:ascii="宋体" w:hAnsi="宋体" w:cs="宋体" w:hint="eastAsia"/>
                <w:b/>
                <w:bCs w:val="0"/>
                <w:color w:val="000000"/>
                <w:sz w:val="21"/>
                <w:szCs w:val="21"/>
                <w:highlight w:val="none"/>
                <w:u w:val="double"/>
                <w:lang w:val="en-US" w:eastAsia="zh-CN"/>
              </w:rPr>
              <w:t>网络餐饮则为1）</w:t>
            </w:r>
          </w:p>
        </w:tc>
        <w:tc>
          <w:tcPr>
            <w:tcW w:w="1055"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台</w:t>
            </w:r>
          </w:p>
        </w:tc>
      </w:tr>
      <w:tr>
        <w:tblPrEx>
          <w:tblW w:w="9217" w:type="dxa"/>
          <w:jc w:val="center"/>
          <w:tblLayout w:type="fixed"/>
          <w:tblCellMar>
            <w:top w:w="0" w:type="dxa"/>
            <w:left w:w="108" w:type="dxa"/>
            <w:bottom w:w="0" w:type="dxa"/>
            <w:right w:w="108" w:type="dxa"/>
          </w:tblCellMar>
        </w:tblPrEx>
        <w:trPr>
          <w:trHeight w:val="826"/>
          <w:jc w:val="center"/>
        </w:trPr>
        <w:tc>
          <w:tcPr>
            <w:tcW w:w="694"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2</w:t>
            </w:r>
          </w:p>
        </w:tc>
        <w:tc>
          <w:tcPr>
            <w:tcW w:w="1343"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明厨亮灶视频网关</w:t>
            </w: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视频接入路数不低于8路；</w:t>
            </w:r>
          </w:p>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硬盘配置：不低于2TB存储容量，转速不低于5400rpm，单盘容量最大支持6TB</w:t>
            </w:r>
          </w:p>
        </w:tc>
        <w:tc>
          <w:tcPr>
            <w:tcW w:w="1662"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1</w:t>
            </w:r>
          </w:p>
        </w:tc>
        <w:tc>
          <w:tcPr>
            <w:tcW w:w="1055"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个</w:t>
            </w:r>
          </w:p>
        </w:tc>
      </w:tr>
      <w:tr>
        <w:tblPrEx>
          <w:tblW w:w="9217" w:type="dxa"/>
          <w:jc w:val="center"/>
          <w:tblLayout w:type="fixed"/>
          <w:tblCellMar>
            <w:top w:w="0" w:type="dxa"/>
            <w:left w:w="108" w:type="dxa"/>
            <w:bottom w:w="0" w:type="dxa"/>
            <w:right w:w="108" w:type="dxa"/>
          </w:tblCellMar>
        </w:tblPrEx>
        <w:trPr>
          <w:trHeight w:val="1526"/>
          <w:jc w:val="center"/>
        </w:trPr>
        <w:tc>
          <w:tcPr>
            <w:tcW w:w="694"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3</w:t>
            </w:r>
          </w:p>
        </w:tc>
        <w:tc>
          <w:tcPr>
            <w:tcW w:w="1343" w:type="dxa"/>
            <w:noWrap w:val="0"/>
            <w:vAlign w:val="center"/>
          </w:tcPr>
          <w:p>
            <w:pPr>
              <w:jc w:val="center"/>
              <w:rPr>
                <w:rFonts w:ascii="宋体" w:eastAsia="宋体" w:hAnsi="宋体" w:cs="宋体" w:hint="eastAsia"/>
                <w:b/>
                <w:bCs w:val="0"/>
                <w:color w:val="000000"/>
                <w:sz w:val="21"/>
                <w:szCs w:val="21"/>
                <w:highlight w:val="none"/>
                <w:u w:val="double"/>
              </w:rPr>
            </w:pPr>
            <w:r>
              <w:rPr>
                <w:rFonts w:ascii="宋体" w:hAnsi="宋体" w:cs="宋体" w:hint="eastAsia"/>
                <w:b/>
                <w:bCs w:val="0"/>
                <w:color w:val="000000"/>
                <w:szCs w:val="21"/>
                <w:u w:val="double"/>
              </w:rPr>
              <w:t>POE路由器（交换机）</w:t>
            </w:r>
          </w:p>
        </w:tc>
        <w:tc>
          <w:tcPr>
            <w:tcW w:w="4463" w:type="dxa"/>
            <w:noWrap w:val="0"/>
            <w:vAlign w:val="center"/>
          </w:tcPr>
          <w:p>
            <w:pPr>
              <w:jc w:val="left"/>
              <w:rPr>
                <w:rFonts w:ascii="宋体" w:hAnsi="宋体" w:cs="宋体" w:hint="eastAsia"/>
                <w:b/>
                <w:bCs w:val="0"/>
                <w:color w:val="000000"/>
                <w:szCs w:val="21"/>
                <w:u w:val="double"/>
              </w:rPr>
            </w:pPr>
            <w:r>
              <w:rPr>
                <w:rFonts w:ascii="宋体" w:hAnsi="宋体" w:cs="宋体" w:hint="eastAsia"/>
                <w:b/>
                <w:bCs w:val="0"/>
                <w:color w:val="000000"/>
                <w:szCs w:val="21"/>
                <w:u w:val="double"/>
              </w:rPr>
              <w:t>配置：POE路由器，固化4个千兆电口，PoE口≥4</w:t>
            </w:r>
          </w:p>
          <w:p>
            <w:pPr>
              <w:jc w:val="left"/>
              <w:rPr>
                <w:rFonts w:ascii="宋体" w:hAnsi="宋体" w:cs="宋体" w:hint="eastAsia"/>
                <w:b/>
                <w:bCs w:val="0"/>
                <w:color w:val="000000"/>
                <w:szCs w:val="21"/>
                <w:u w:val="double"/>
              </w:rPr>
            </w:pPr>
            <w:r>
              <w:rPr>
                <w:rFonts w:ascii="宋体" w:hAnsi="宋体" w:cs="宋体" w:hint="eastAsia"/>
                <w:b/>
                <w:bCs w:val="0"/>
                <w:color w:val="000000"/>
                <w:szCs w:val="21"/>
                <w:u w:val="double"/>
              </w:rPr>
              <w:t>POE：支持自适应802.3af/at供电标准</w:t>
            </w:r>
          </w:p>
          <w:p>
            <w:pPr>
              <w:jc w:val="left"/>
              <w:rPr>
                <w:rFonts w:ascii="宋体" w:hAnsi="宋体" w:cs="宋体" w:hint="eastAsia"/>
                <w:b/>
                <w:bCs w:val="0"/>
                <w:color w:val="000000"/>
                <w:szCs w:val="21"/>
                <w:u w:val="double"/>
              </w:rPr>
            </w:pPr>
            <w:r>
              <w:rPr>
                <w:rFonts w:ascii="宋体" w:hAnsi="宋体" w:cs="宋体" w:hint="eastAsia"/>
                <w:b/>
                <w:bCs w:val="0"/>
                <w:color w:val="000000"/>
                <w:szCs w:val="21"/>
                <w:u w:val="double"/>
              </w:rPr>
              <w:t>整机功耗＜15W</w:t>
            </w:r>
          </w:p>
          <w:p>
            <w:pPr>
              <w:jc w:val="left"/>
              <w:rPr>
                <w:rFonts w:ascii="宋体" w:hAnsi="宋体" w:cs="宋体" w:hint="eastAsia"/>
                <w:b/>
                <w:bCs w:val="0"/>
                <w:color w:val="000000"/>
                <w:szCs w:val="21"/>
                <w:u w:val="double"/>
              </w:rPr>
            </w:pPr>
            <w:r>
              <w:rPr>
                <w:rFonts w:ascii="宋体" w:hAnsi="宋体" w:cs="宋体" w:hint="eastAsia"/>
                <w:b/>
                <w:bCs w:val="0"/>
                <w:color w:val="000000"/>
                <w:szCs w:val="21"/>
                <w:u w:val="double"/>
              </w:rPr>
              <w:t>LED指示灯:链路状态指示灯，PWR电源指示灯,POE指示灯</w:t>
            </w:r>
          </w:p>
          <w:p>
            <w:pPr>
              <w:jc w:val="left"/>
              <w:rPr>
                <w:rFonts w:ascii="宋体" w:eastAsia="宋体" w:hAnsi="宋体" w:cs="宋体" w:hint="eastAsia"/>
                <w:b/>
                <w:bCs w:val="0"/>
                <w:color w:val="000000"/>
                <w:sz w:val="21"/>
                <w:szCs w:val="21"/>
                <w:highlight w:val="none"/>
                <w:u w:val="double"/>
              </w:rPr>
            </w:pPr>
            <w:r>
              <w:rPr>
                <w:rFonts w:ascii="宋体" w:hAnsi="宋体" w:cs="宋体" w:hint="eastAsia"/>
                <w:b/>
                <w:bCs w:val="0"/>
                <w:color w:val="000000"/>
                <w:szCs w:val="21"/>
                <w:u w:val="double"/>
              </w:rPr>
              <w:t>外壳:金属材质</w:t>
            </w:r>
          </w:p>
        </w:tc>
        <w:tc>
          <w:tcPr>
            <w:tcW w:w="1662"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1</w:t>
            </w:r>
          </w:p>
        </w:tc>
        <w:tc>
          <w:tcPr>
            <w:tcW w:w="1055"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台</w:t>
            </w:r>
          </w:p>
        </w:tc>
      </w:tr>
      <w:tr>
        <w:tblPrEx>
          <w:tblW w:w="9217" w:type="dxa"/>
          <w:jc w:val="center"/>
          <w:tblLayout w:type="fixed"/>
          <w:tblCellMar>
            <w:top w:w="0" w:type="dxa"/>
            <w:left w:w="108" w:type="dxa"/>
            <w:bottom w:w="0" w:type="dxa"/>
            <w:right w:w="108" w:type="dxa"/>
          </w:tblCellMar>
        </w:tblPrEx>
        <w:trPr>
          <w:trHeight w:val="2733"/>
          <w:jc w:val="center"/>
        </w:trPr>
        <w:tc>
          <w:tcPr>
            <w:tcW w:w="694" w:type="dxa"/>
            <w:noWrap w:val="0"/>
            <w:vAlign w:val="center"/>
          </w:tcPr>
          <w:p>
            <w:pPr>
              <w:spacing w:line="240" w:lineRule="auto"/>
              <w:jc w:val="center"/>
              <w:rPr>
                <w:rFonts w:ascii="宋体" w:eastAsia="宋体" w:hAnsi="宋体" w:cs="宋体" w:hint="eastAsia"/>
                <w:b/>
                <w:bCs w:val="0"/>
                <w:color w:val="000000"/>
                <w:sz w:val="21"/>
                <w:szCs w:val="21"/>
                <w:highlight w:val="none"/>
                <w:u w:val="double"/>
                <w:lang w:eastAsia="zh-CN"/>
              </w:rPr>
            </w:pPr>
            <w:r>
              <w:rPr>
                <w:rFonts w:ascii="宋体" w:hAnsi="宋体" w:cs="宋体" w:hint="eastAsia"/>
                <w:b/>
                <w:bCs w:val="0"/>
                <w:color w:val="000000"/>
                <w:sz w:val="21"/>
                <w:szCs w:val="21"/>
                <w:highlight w:val="none"/>
                <w:u w:val="double"/>
                <w:lang w:val="en-US" w:eastAsia="zh-CN"/>
              </w:rPr>
              <w:t>4</w:t>
            </w:r>
          </w:p>
        </w:tc>
        <w:tc>
          <w:tcPr>
            <w:tcW w:w="1343"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42寸</w:t>
            </w:r>
            <w:r>
              <w:rPr>
                <w:rFonts w:ascii="宋体" w:hAnsi="宋体" w:cs="宋体" w:hint="eastAsia"/>
                <w:b/>
                <w:bCs w:val="0"/>
                <w:color w:val="000000"/>
                <w:sz w:val="21"/>
                <w:szCs w:val="21"/>
                <w:highlight w:val="none"/>
                <w:u w:val="double"/>
                <w:lang w:val="en-US" w:eastAsia="zh-CN"/>
              </w:rPr>
              <w:t>或</w:t>
            </w:r>
            <w:r>
              <w:rPr>
                <w:rFonts w:ascii="宋体" w:eastAsia="宋体" w:hAnsi="宋体" w:cs="宋体" w:hint="eastAsia"/>
                <w:b/>
                <w:bCs w:val="0"/>
                <w:color w:val="000000"/>
                <w:sz w:val="21"/>
                <w:szCs w:val="21"/>
                <w:highlight w:val="none"/>
                <w:u w:val="double"/>
              </w:rPr>
              <w:t>以上壁挂电视</w:t>
            </w: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CPU：四核处理器 主频1.9GHz</w:t>
            </w:r>
          </w:p>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内存：不小于2G DDR3</w:t>
            </w:r>
          </w:p>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操作系统：Android 7.1或以上</w:t>
            </w:r>
          </w:p>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网络支持：以太网，WiFi</w:t>
            </w:r>
          </w:p>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尺寸：</w:t>
            </w:r>
            <w:r>
              <w:rPr>
                <w:rFonts w:ascii="宋体" w:eastAsia="宋体" w:hAnsi="宋体" w:cs="宋体" w:hint="eastAsia"/>
                <w:b/>
                <w:bCs w:val="0"/>
                <w:color w:val="000000"/>
                <w:sz w:val="21"/>
                <w:szCs w:val="21"/>
                <w:highlight w:val="none"/>
                <w:u w:val="double"/>
                <w:lang w:val="en-US" w:eastAsia="zh-CN"/>
              </w:rPr>
              <w:t>&gt;</w:t>
            </w:r>
            <w:r>
              <w:rPr>
                <w:rFonts w:ascii="宋体" w:eastAsia="宋体" w:hAnsi="宋体" w:cs="宋体" w:hint="eastAsia"/>
                <w:b/>
                <w:bCs w:val="0"/>
                <w:color w:val="000000"/>
                <w:sz w:val="21"/>
                <w:szCs w:val="21"/>
                <w:highlight w:val="none"/>
                <w:u w:val="double"/>
              </w:rPr>
              <w:t>42 Inch</w:t>
            </w:r>
          </w:p>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屏幕比例：16:9</w:t>
            </w:r>
          </w:p>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分辨率：</w:t>
            </w:r>
            <w:r>
              <w:rPr>
                <w:rFonts w:hint="eastAsia"/>
                <w:b/>
                <w:bCs w:val="0"/>
                <w:u w:val="double"/>
                <w:lang w:val="en-US" w:eastAsia="zh-CN"/>
              </w:rPr>
              <w:t>≥</w:t>
            </w:r>
            <w:r>
              <w:rPr>
                <w:rFonts w:ascii="宋体" w:eastAsia="宋体" w:hAnsi="宋体" w:cs="宋体" w:hint="eastAsia"/>
                <w:b/>
                <w:bCs w:val="0"/>
                <w:color w:val="000000"/>
                <w:sz w:val="21"/>
                <w:szCs w:val="21"/>
                <w:highlight w:val="none"/>
                <w:u w:val="double"/>
              </w:rPr>
              <w:t>1920 x1080</w:t>
            </w:r>
          </w:p>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亮度：</w:t>
            </w:r>
            <w:r>
              <w:rPr>
                <w:rFonts w:hint="eastAsia"/>
                <w:b/>
                <w:bCs w:val="0"/>
                <w:u w:val="double"/>
                <w:lang w:val="en-US" w:eastAsia="zh-CN"/>
              </w:rPr>
              <w:t>≥</w:t>
            </w:r>
            <w:r>
              <w:rPr>
                <w:rFonts w:ascii="宋体" w:eastAsia="宋体" w:hAnsi="宋体" w:cs="宋体" w:hint="eastAsia"/>
                <w:b/>
                <w:bCs w:val="0"/>
                <w:color w:val="000000"/>
                <w:sz w:val="21"/>
                <w:szCs w:val="21"/>
                <w:highlight w:val="none"/>
                <w:u w:val="double"/>
              </w:rPr>
              <w:t>350cd/m</w:t>
            </w:r>
            <w:r>
              <w:rPr>
                <w:rFonts w:ascii="宋体" w:eastAsia="宋体" w:hAnsi="宋体" w:cs="宋体" w:hint="eastAsia"/>
                <w:b/>
                <w:bCs w:val="0"/>
                <w:color w:val="000000"/>
                <w:sz w:val="21"/>
                <w:szCs w:val="21"/>
                <w:highlight w:val="none"/>
                <w:u w:val="double"/>
                <w:vertAlign w:val="superscript"/>
              </w:rPr>
              <w:t>2</w:t>
            </w:r>
          </w:p>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功能：支持分屏功能，能实现明厨亮灶监控1大4小画面和广告分屏显示</w:t>
            </w:r>
          </w:p>
        </w:tc>
        <w:tc>
          <w:tcPr>
            <w:tcW w:w="1662"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1</w:t>
            </w:r>
            <w:r>
              <w:rPr>
                <w:rFonts w:ascii="宋体" w:hAnsi="宋体" w:cs="宋体" w:hint="eastAsia"/>
                <w:b/>
                <w:bCs w:val="0"/>
                <w:color w:val="000000"/>
                <w:sz w:val="21"/>
                <w:szCs w:val="21"/>
                <w:highlight w:val="none"/>
                <w:u w:val="double"/>
                <w:lang w:eastAsia="zh-CN"/>
              </w:rPr>
              <w:t>（</w:t>
            </w:r>
            <w:r>
              <w:rPr>
                <w:rFonts w:ascii="宋体" w:hAnsi="宋体" w:cs="宋体" w:hint="eastAsia"/>
                <w:b/>
                <w:bCs w:val="0"/>
                <w:color w:val="000000"/>
                <w:sz w:val="21"/>
                <w:szCs w:val="21"/>
                <w:highlight w:val="none"/>
                <w:u w:val="double"/>
                <w:lang w:val="en-US" w:eastAsia="zh-CN"/>
              </w:rPr>
              <w:t>除</w:t>
            </w:r>
            <w:r>
              <w:rPr>
                <w:rFonts w:ascii="宋体" w:hAnsi="宋体" w:hint="eastAsia"/>
                <w:b/>
                <w:bCs w:val="0"/>
                <w:szCs w:val="21"/>
                <w:u w:val="double"/>
                <w:lang w:val="en-US" w:eastAsia="zh-CN"/>
              </w:rPr>
              <w:t>学校食堂等重点餐饮服务单位外的其他餐饮服务单位无需安装</w:t>
            </w:r>
            <w:r>
              <w:rPr>
                <w:rFonts w:ascii="宋体" w:hAnsi="宋体" w:cs="宋体" w:hint="eastAsia"/>
                <w:b/>
                <w:bCs w:val="0"/>
                <w:color w:val="000000"/>
                <w:sz w:val="21"/>
                <w:szCs w:val="21"/>
                <w:highlight w:val="none"/>
                <w:u w:val="double"/>
                <w:lang w:val="en-US" w:eastAsia="zh-CN"/>
              </w:rPr>
              <w:t>）</w:t>
            </w:r>
          </w:p>
        </w:tc>
        <w:tc>
          <w:tcPr>
            <w:tcW w:w="1055"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台</w:t>
            </w:r>
          </w:p>
        </w:tc>
      </w:tr>
      <w:tr>
        <w:tblPrEx>
          <w:tblW w:w="9217" w:type="dxa"/>
          <w:jc w:val="center"/>
          <w:tblLayout w:type="fixed"/>
          <w:tblCellMar>
            <w:top w:w="0" w:type="dxa"/>
            <w:left w:w="108" w:type="dxa"/>
            <w:bottom w:w="0" w:type="dxa"/>
            <w:right w:w="108" w:type="dxa"/>
          </w:tblCellMar>
        </w:tblPrEx>
        <w:trPr>
          <w:trHeight w:val="554"/>
          <w:jc w:val="center"/>
        </w:trPr>
        <w:tc>
          <w:tcPr>
            <w:tcW w:w="694" w:type="dxa"/>
            <w:noWrap w:val="0"/>
            <w:vAlign w:val="center"/>
          </w:tcPr>
          <w:p>
            <w:pPr>
              <w:spacing w:line="240" w:lineRule="auto"/>
              <w:jc w:val="center"/>
              <w:rPr>
                <w:rFonts w:ascii="宋体" w:eastAsia="宋体" w:hAnsi="宋体" w:cs="宋体" w:hint="eastAsia"/>
                <w:b/>
                <w:bCs w:val="0"/>
                <w:color w:val="000000"/>
                <w:sz w:val="21"/>
                <w:szCs w:val="21"/>
                <w:highlight w:val="none"/>
                <w:u w:val="double"/>
                <w:lang w:eastAsia="zh-CN"/>
              </w:rPr>
            </w:pPr>
            <w:r>
              <w:rPr>
                <w:rFonts w:ascii="宋体" w:hAnsi="宋体" w:cs="宋体" w:hint="eastAsia"/>
                <w:b/>
                <w:bCs w:val="0"/>
                <w:color w:val="000000"/>
                <w:sz w:val="21"/>
                <w:szCs w:val="21"/>
                <w:highlight w:val="none"/>
                <w:u w:val="double"/>
                <w:lang w:val="en-US" w:eastAsia="zh-CN"/>
              </w:rPr>
              <w:t>5</w:t>
            </w:r>
          </w:p>
        </w:tc>
        <w:tc>
          <w:tcPr>
            <w:tcW w:w="1343"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设备箱</w:t>
            </w: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全金属4U，带锁，外置独立空气开关2P 10A并单独配置配电箱</w:t>
            </w:r>
          </w:p>
        </w:tc>
        <w:tc>
          <w:tcPr>
            <w:tcW w:w="1662"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1</w:t>
            </w:r>
          </w:p>
        </w:tc>
        <w:tc>
          <w:tcPr>
            <w:tcW w:w="1055"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个</w:t>
            </w:r>
          </w:p>
        </w:tc>
      </w:tr>
      <w:tr>
        <w:tblPrEx>
          <w:tblW w:w="9217" w:type="dxa"/>
          <w:jc w:val="center"/>
          <w:tblLayout w:type="fixed"/>
          <w:tblCellMar>
            <w:top w:w="0" w:type="dxa"/>
            <w:left w:w="108" w:type="dxa"/>
            <w:bottom w:w="0" w:type="dxa"/>
            <w:right w:w="108" w:type="dxa"/>
          </w:tblCellMar>
        </w:tblPrEx>
        <w:trPr>
          <w:trHeight w:val="289"/>
          <w:jc w:val="center"/>
        </w:trPr>
        <w:tc>
          <w:tcPr>
            <w:tcW w:w="694" w:type="dxa"/>
            <w:vMerge w:val="restart"/>
            <w:noWrap w:val="0"/>
            <w:vAlign w:val="center"/>
          </w:tcPr>
          <w:p>
            <w:pPr>
              <w:spacing w:line="240" w:lineRule="auto"/>
              <w:jc w:val="center"/>
              <w:rPr>
                <w:rFonts w:ascii="宋体" w:eastAsia="宋体" w:hAnsi="宋体" w:cs="宋体" w:hint="eastAsia"/>
                <w:b/>
                <w:bCs w:val="0"/>
                <w:color w:val="000000"/>
                <w:sz w:val="21"/>
                <w:szCs w:val="21"/>
                <w:highlight w:val="none"/>
                <w:u w:val="double"/>
                <w:lang w:eastAsia="zh-CN"/>
              </w:rPr>
            </w:pPr>
            <w:r>
              <w:rPr>
                <w:rFonts w:ascii="宋体" w:hAnsi="宋体" w:cs="宋体" w:hint="eastAsia"/>
                <w:b/>
                <w:bCs w:val="0"/>
                <w:color w:val="000000"/>
                <w:sz w:val="21"/>
                <w:szCs w:val="21"/>
                <w:highlight w:val="none"/>
                <w:u w:val="double"/>
                <w:lang w:val="en-US" w:eastAsia="zh-CN"/>
              </w:rPr>
              <w:t>6</w:t>
            </w:r>
          </w:p>
        </w:tc>
        <w:tc>
          <w:tcPr>
            <w:tcW w:w="1343" w:type="dxa"/>
            <w:vMerge w:val="restart"/>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施工线材及五金</w:t>
            </w: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超五类网线</w:t>
            </w:r>
          </w:p>
        </w:tc>
        <w:tc>
          <w:tcPr>
            <w:tcW w:w="1662" w:type="dxa"/>
            <w:vMerge w:val="restart"/>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1</w:t>
            </w:r>
          </w:p>
        </w:tc>
        <w:tc>
          <w:tcPr>
            <w:tcW w:w="1055" w:type="dxa"/>
            <w:vMerge w:val="restart"/>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批次</w:t>
            </w:r>
          </w:p>
        </w:tc>
      </w:tr>
      <w:tr>
        <w:tblPrEx>
          <w:tblW w:w="9217" w:type="dxa"/>
          <w:jc w:val="center"/>
          <w:tblLayout w:type="fixed"/>
          <w:tblCellMar>
            <w:top w:w="0" w:type="dxa"/>
            <w:left w:w="108" w:type="dxa"/>
            <w:bottom w:w="0" w:type="dxa"/>
            <w:right w:w="108" w:type="dxa"/>
          </w:tblCellMar>
        </w:tblPrEx>
        <w:trPr>
          <w:trHeight w:val="289"/>
          <w:jc w:val="center"/>
        </w:trPr>
        <w:tc>
          <w:tcPr>
            <w:tcW w:w="694"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343"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金属防水盒</w:t>
            </w:r>
          </w:p>
        </w:tc>
        <w:tc>
          <w:tcPr>
            <w:tcW w:w="1662"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055"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r>
      <w:tr>
        <w:tblPrEx>
          <w:tblW w:w="9217" w:type="dxa"/>
          <w:jc w:val="center"/>
          <w:tblLayout w:type="fixed"/>
          <w:tblCellMar>
            <w:top w:w="0" w:type="dxa"/>
            <w:left w:w="108" w:type="dxa"/>
            <w:bottom w:w="0" w:type="dxa"/>
            <w:right w:w="108" w:type="dxa"/>
          </w:tblCellMar>
        </w:tblPrEx>
        <w:trPr>
          <w:trHeight w:val="289"/>
          <w:jc w:val="center"/>
        </w:trPr>
        <w:tc>
          <w:tcPr>
            <w:tcW w:w="694"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343"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金属包塑波纹管R16～R19</w:t>
            </w:r>
          </w:p>
        </w:tc>
        <w:tc>
          <w:tcPr>
            <w:tcW w:w="1662"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055"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r>
      <w:tr>
        <w:tblPrEx>
          <w:tblW w:w="9217" w:type="dxa"/>
          <w:jc w:val="center"/>
          <w:tblLayout w:type="fixed"/>
          <w:tblCellMar>
            <w:top w:w="0" w:type="dxa"/>
            <w:left w:w="108" w:type="dxa"/>
            <w:bottom w:w="0" w:type="dxa"/>
            <w:right w:w="108" w:type="dxa"/>
          </w:tblCellMar>
        </w:tblPrEx>
        <w:trPr>
          <w:trHeight w:val="282"/>
          <w:jc w:val="center"/>
        </w:trPr>
        <w:tc>
          <w:tcPr>
            <w:tcW w:w="694"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343"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金属套线管R20～R25</w:t>
            </w:r>
          </w:p>
        </w:tc>
        <w:tc>
          <w:tcPr>
            <w:tcW w:w="1662"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055"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r>
      <w:tr>
        <w:tblPrEx>
          <w:tblW w:w="9217" w:type="dxa"/>
          <w:jc w:val="center"/>
          <w:tblLayout w:type="fixed"/>
          <w:tblCellMar>
            <w:top w:w="0" w:type="dxa"/>
            <w:left w:w="108" w:type="dxa"/>
            <w:bottom w:w="0" w:type="dxa"/>
            <w:right w:w="108" w:type="dxa"/>
          </w:tblCellMar>
        </w:tblPrEx>
        <w:trPr>
          <w:trHeight w:val="289"/>
          <w:jc w:val="center"/>
        </w:trPr>
        <w:tc>
          <w:tcPr>
            <w:tcW w:w="694"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343"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4位10A 电源插排</w:t>
            </w:r>
          </w:p>
        </w:tc>
        <w:tc>
          <w:tcPr>
            <w:tcW w:w="1662"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055"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r>
      <w:tr>
        <w:tblPrEx>
          <w:tblW w:w="9217" w:type="dxa"/>
          <w:jc w:val="center"/>
          <w:tblLayout w:type="fixed"/>
          <w:tblCellMar>
            <w:top w:w="0" w:type="dxa"/>
            <w:left w:w="108" w:type="dxa"/>
            <w:bottom w:w="0" w:type="dxa"/>
            <w:right w:w="108" w:type="dxa"/>
          </w:tblCellMar>
        </w:tblPrEx>
        <w:trPr>
          <w:trHeight w:val="289"/>
          <w:jc w:val="center"/>
        </w:trPr>
        <w:tc>
          <w:tcPr>
            <w:tcW w:w="694"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343"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10A 电源插座</w:t>
            </w:r>
          </w:p>
        </w:tc>
        <w:tc>
          <w:tcPr>
            <w:tcW w:w="1662"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055"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r>
      <w:tr>
        <w:tblPrEx>
          <w:tblW w:w="9217" w:type="dxa"/>
          <w:jc w:val="center"/>
          <w:tblLayout w:type="fixed"/>
          <w:tblCellMar>
            <w:top w:w="0" w:type="dxa"/>
            <w:left w:w="108" w:type="dxa"/>
            <w:bottom w:w="0" w:type="dxa"/>
            <w:right w:w="108" w:type="dxa"/>
          </w:tblCellMar>
        </w:tblPrEx>
        <w:trPr>
          <w:trHeight w:val="312"/>
          <w:jc w:val="center"/>
        </w:trPr>
        <w:tc>
          <w:tcPr>
            <w:tcW w:w="694"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343"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电线RVV3 2.5</w:t>
            </w:r>
          </w:p>
        </w:tc>
        <w:tc>
          <w:tcPr>
            <w:tcW w:w="1662"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055"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r>
      <w:tr>
        <w:tblPrEx>
          <w:tblW w:w="9217" w:type="dxa"/>
          <w:jc w:val="center"/>
          <w:tblLayout w:type="fixed"/>
          <w:tblCellMar>
            <w:top w:w="0" w:type="dxa"/>
            <w:left w:w="108" w:type="dxa"/>
            <w:bottom w:w="0" w:type="dxa"/>
            <w:right w:w="108" w:type="dxa"/>
          </w:tblCellMar>
        </w:tblPrEx>
        <w:trPr>
          <w:trHeight w:val="289"/>
          <w:jc w:val="center"/>
        </w:trPr>
        <w:tc>
          <w:tcPr>
            <w:tcW w:w="694"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343"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交换机8口百兆</w:t>
            </w:r>
          </w:p>
        </w:tc>
        <w:tc>
          <w:tcPr>
            <w:tcW w:w="1662"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055"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r>
      <w:tr>
        <w:tblPrEx>
          <w:tblW w:w="9217" w:type="dxa"/>
          <w:jc w:val="center"/>
          <w:tblLayout w:type="fixed"/>
          <w:tblCellMar>
            <w:top w:w="0" w:type="dxa"/>
            <w:left w:w="108" w:type="dxa"/>
            <w:bottom w:w="0" w:type="dxa"/>
            <w:right w:w="108" w:type="dxa"/>
          </w:tblCellMar>
        </w:tblPrEx>
        <w:trPr>
          <w:trHeight w:val="289"/>
          <w:jc w:val="center"/>
        </w:trPr>
        <w:tc>
          <w:tcPr>
            <w:tcW w:w="694"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343"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施工五金</w:t>
            </w:r>
          </w:p>
        </w:tc>
        <w:tc>
          <w:tcPr>
            <w:tcW w:w="1662"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c>
          <w:tcPr>
            <w:tcW w:w="1055" w:type="dxa"/>
            <w:vMerge/>
            <w:noWrap w:val="0"/>
            <w:vAlign w:val="center"/>
          </w:tcPr>
          <w:p>
            <w:pPr>
              <w:spacing w:line="240" w:lineRule="auto"/>
              <w:jc w:val="center"/>
              <w:rPr>
                <w:rFonts w:ascii="宋体" w:eastAsia="宋体" w:hAnsi="宋体" w:cs="宋体" w:hint="eastAsia"/>
                <w:b/>
                <w:bCs w:val="0"/>
                <w:color w:val="000000"/>
                <w:sz w:val="21"/>
                <w:szCs w:val="21"/>
                <w:highlight w:val="none"/>
                <w:u w:val="double"/>
              </w:rPr>
            </w:pPr>
          </w:p>
        </w:tc>
      </w:tr>
      <w:tr>
        <w:tblPrEx>
          <w:tblW w:w="9217" w:type="dxa"/>
          <w:jc w:val="center"/>
          <w:tblLayout w:type="fixed"/>
          <w:tblCellMar>
            <w:top w:w="0" w:type="dxa"/>
            <w:left w:w="108" w:type="dxa"/>
            <w:bottom w:w="0" w:type="dxa"/>
            <w:right w:w="108" w:type="dxa"/>
          </w:tblCellMar>
        </w:tblPrEx>
        <w:trPr>
          <w:trHeight w:val="290"/>
          <w:jc w:val="center"/>
        </w:trPr>
        <w:tc>
          <w:tcPr>
            <w:tcW w:w="694" w:type="dxa"/>
            <w:noWrap w:val="0"/>
            <w:vAlign w:val="center"/>
          </w:tcPr>
          <w:p>
            <w:pPr>
              <w:spacing w:line="240" w:lineRule="auto"/>
              <w:jc w:val="center"/>
              <w:rPr>
                <w:rFonts w:ascii="宋体" w:eastAsia="宋体" w:hAnsi="宋体" w:cs="宋体" w:hint="eastAsia"/>
                <w:b/>
                <w:bCs w:val="0"/>
                <w:color w:val="000000"/>
                <w:sz w:val="21"/>
                <w:szCs w:val="21"/>
                <w:highlight w:val="none"/>
                <w:u w:val="double"/>
                <w:lang w:eastAsia="zh-CN"/>
              </w:rPr>
            </w:pPr>
            <w:r>
              <w:rPr>
                <w:rFonts w:ascii="宋体" w:hAnsi="宋体" w:cs="宋体" w:hint="eastAsia"/>
                <w:b/>
                <w:bCs w:val="0"/>
                <w:color w:val="000000"/>
                <w:sz w:val="21"/>
                <w:szCs w:val="21"/>
                <w:highlight w:val="none"/>
                <w:u w:val="double"/>
                <w:lang w:val="en-US" w:eastAsia="zh-CN"/>
              </w:rPr>
              <w:t>7</w:t>
            </w:r>
          </w:p>
        </w:tc>
        <w:tc>
          <w:tcPr>
            <w:tcW w:w="1343"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安装人工</w:t>
            </w:r>
          </w:p>
        </w:tc>
        <w:tc>
          <w:tcPr>
            <w:tcW w:w="4463" w:type="dxa"/>
            <w:noWrap w:val="0"/>
            <w:vAlign w:val="center"/>
          </w:tcPr>
          <w:p>
            <w:pPr>
              <w:spacing w:line="240" w:lineRule="auto"/>
              <w:jc w:val="left"/>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安装施工、材料运输、调试</w:t>
            </w:r>
          </w:p>
        </w:tc>
        <w:tc>
          <w:tcPr>
            <w:tcW w:w="1662"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1</w:t>
            </w:r>
          </w:p>
        </w:tc>
        <w:tc>
          <w:tcPr>
            <w:tcW w:w="1055" w:type="dxa"/>
            <w:noWrap w:val="0"/>
            <w:vAlign w:val="center"/>
          </w:tcPr>
          <w:p>
            <w:pPr>
              <w:spacing w:line="240" w:lineRule="auto"/>
              <w:jc w:val="center"/>
              <w:rPr>
                <w:rFonts w:ascii="宋体" w:eastAsia="宋体" w:hAnsi="宋体" w:cs="宋体" w:hint="eastAsia"/>
                <w:b/>
                <w:bCs w:val="0"/>
                <w:color w:val="000000"/>
                <w:sz w:val="21"/>
                <w:szCs w:val="21"/>
                <w:highlight w:val="none"/>
                <w:u w:val="double"/>
              </w:rPr>
            </w:pPr>
            <w:r>
              <w:rPr>
                <w:rFonts w:ascii="宋体" w:eastAsia="宋体" w:hAnsi="宋体" w:cs="宋体" w:hint="eastAsia"/>
                <w:b/>
                <w:bCs w:val="0"/>
                <w:color w:val="000000"/>
                <w:sz w:val="21"/>
                <w:szCs w:val="21"/>
                <w:highlight w:val="none"/>
                <w:u w:val="double"/>
              </w:rPr>
              <w:t>批</w:t>
            </w:r>
          </w:p>
        </w:tc>
      </w:tr>
    </w:tbl>
    <w:p>
      <w:pPr>
        <w:spacing w:line="360" w:lineRule="auto"/>
        <w:ind w:firstLine="420" w:firstLineChars="200"/>
        <w:jc w:val="left"/>
        <w:rPr>
          <w:rFonts w:ascii="宋体" w:hAnsi="宋体" w:hint="eastAsia"/>
          <w:b/>
          <w:bCs/>
          <w:szCs w:val="21"/>
        </w:rPr>
      </w:pPr>
      <w:bookmarkEnd w:id="9"/>
      <w:r>
        <w:rPr>
          <w:rFonts w:ascii="宋体" w:hAnsi="宋体" w:hint="eastAsia"/>
          <w:b/>
          <w:bCs/>
          <w:szCs w:val="21"/>
          <w:lang w:val="en-US" w:eastAsia="zh-CN"/>
        </w:rPr>
        <w:t>2.</w:t>
      </w:r>
      <w:r>
        <w:rPr>
          <w:rFonts w:ascii="宋体" w:hAnsi="宋体" w:hint="eastAsia"/>
          <w:b/>
          <w:bCs/>
          <w:szCs w:val="21"/>
        </w:rPr>
        <w:t>接入类主辅材配置最低要求</w:t>
      </w:r>
    </w:p>
    <w:tbl>
      <w:tblPr>
        <w:tblStyle w:val="TableNormal"/>
        <w:tblW w:w="9272"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715"/>
        <w:gridCol w:w="1985"/>
        <w:gridCol w:w="4700"/>
        <w:gridCol w:w="786"/>
        <w:gridCol w:w="1086"/>
      </w:tblGrid>
      <w:tr>
        <w:tblPrEx>
          <w:tblW w:w="9272"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23"/>
        </w:trPr>
        <w:tc>
          <w:tcPr>
            <w:tcW w:w="715" w:type="dxa"/>
            <w:shd w:val="clear" w:color="000000" w:fill="E7E6E6"/>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序号</w:t>
            </w:r>
          </w:p>
        </w:tc>
        <w:tc>
          <w:tcPr>
            <w:tcW w:w="1985" w:type="dxa"/>
            <w:shd w:val="clear" w:color="000000" w:fill="E7E6E6"/>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项目</w:t>
            </w:r>
          </w:p>
        </w:tc>
        <w:tc>
          <w:tcPr>
            <w:tcW w:w="4700" w:type="dxa"/>
            <w:shd w:val="clear" w:color="000000" w:fill="E7E6E6"/>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参数说明</w:t>
            </w:r>
          </w:p>
        </w:tc>
        <w:tc>
          <w:tcPr>
            <w:tcW w:w="786" w:type="dxa"/>
            <w:shd w:val="clear" w:color="000000" w:fill="E7E6E6"/>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数量</w:t>
            </w:r>
          </w:p>
        </w:tc>
        <w:tc>
          <w:tcPr>
            <w:tcW w:w="1086" w:type="dxa"/>
            <w:shd w:val="clear" w:color="000000" w:fill="E7E6E6"/>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单位</w:t>
            </w:r>
          </w:p>
        </w:tc>
      </w:tr>
      <w:tr>
        <w:tblPrEx>
          <w:tblW w:w="9272" w:type="dxa"/>
          <w:tblInd w:w="0" w:type="dxa"/>
          <w:tblLayout w:type="fixed"/>
          <w:tblCellMar>
            <w:top w:w="0" w:type="dxa"/>
            <w:left w:w="108" w:type="dxa"/>
            <w:bottom w:w="0" w:type="dxa"/>
            <w:right w:w="108" w:type="dxa"/>
          </w:tblCellMar>
        </w:tblPrEx>
        <w:trPr>
          <w:trHeight w:val="23"/>
        </w:trPr>
        <w:tc>
          <w:tcPr>
            <w:tcW w:w="715" w:type="dxa"/>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1</w:t>
            </w:r>
          </w:p>
        </w:tc>
        <w:tc>
          <w:tcPr>
            <w:tcW w:w="1985" w:type="dxa"/>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明厨亮灶视频网关</w:t>
            </w:r>
          </w:p>
        </w:tc>
        <w:tc>
          <w:tcPr>
            <w:tcW w:w="4700" w:type="dxa"/>
            <w:noWrap w:val="0"/>
            <w:vAlign w:val="center"/>
          </w:tcPr>
          <w:p>
            <w:pPr>
              <w:spacing w:line="240" w:lineRule="auto"/>
              <w:jc w:val="lef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视频接入路数不低于8路；</w:t>
            </w:r>
          </w:p>
          <w:p>
            <w:pPr>
              <w:spacing w:line="240" w:lineRule="auto"/>
              <w:jc w:val="lef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硬盘配置：不低于2TB存储容量，转速不低于5400rpm，单盘容量最大支持6TB</w:t>
            </w:r>
          </w:p>
        </w:tc>
        <w:tc>
          <w:tcPr>
            <w:tcW w:w="786" w:type="dxa"/>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1</w:t>
            </w:r>
          </w:p>
        </w:tc>
        <w:tc>
          <w:tcPr>
            <w:tcW w:w="1086" w:type="dxa"/>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台</w:t>
            </w:r>
          </w:p>
        </w:tc>
      </w:tr>
      <w:tr>
        <w:tblPrEx>
          <w:tblW w:w="9272" w:type="dxa"/>
          <w:tblInd w:w="0" w:type="dxa"/>
          <w:tblLayout w:type="fixed"/>
          <w:tblCellMar>
            <w:top w:w="0" w:type="dxa"/>
            <w:left w:w="108" w:type="dxa"/>
            <w:bottom w:w="0" w:type="dxa"/>
            <w:right w:w="108" w:type="dxa"/>
          </w:tblCellMar>
        </w:tblPrEx>
        <w:trPr>
          <w:trHeight w:val="23"/>
        </w:trPr>
        <w:tc>
          <w:tcPr>
            <w:tcW w:w="715" w:type="dxa"/>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2</w:t>
            </w:r>
          </w:p>
        </w:tc>
        <w:tc>
          <w:tcPr>
            <w:tcW w:w="1985" w:type="dxa"/>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施工辅材及五金</w:t>
            </w:r>
          </w:p>
        </w:tc>
        <w:tc>
          <w:tcPr>
            <w:tcW w:w="4700" w:type="dxa"/>
            <w:noWrap w:val="0"/>
            <w:vAlign w:val="center"/>
          </w:tcPr>
          <w:p>
            <w:pPr>
              <w:spacing w:line="240" w:lineRule="auto"/>
              <w:jc w:val="lef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网线超五类、电源插排、电线RVV3 2.5、施工五金、水晶头、设备箱/交换机</w:t>
            </w:r>
          </w:p>
        </w:tc>
        <w:tc>
          <w:tcPr>
            <w:tcW w:w="786" w:type="dxa"/>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1</w:t>
            </w:r>
          </w:p>
        </w:tc>
        <w:tc>
          <w:tcPr>
            <w:tcW w:w="1086" w:type="dxa"/>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批次</w:t>
            </w:r>
          </w:p>
        </w:tc>
      </w:tr>
      <w:tr>
        <w:tblPrEx>
          <w:tblW w:w="9272" w:type="dxa"/>
          <w:tblInd w:w="0" w:type="dxa"/>
          <w:tblLayout w:type="fixed"/>
          <w:tblCellMar>
            <w:top w:w="0" w:type="dxa"/>
            <w:left w:w="108" w:type="dxa"/>
            <w:bottom w:w="0" w:type="dxa"/>
            <w:right w:w="108" w:type="dxa"/>
          </w:tblCellMar>
        </w:tblPrEx>
        <w:trPr>
          <w:trHeight w:val="23"/>
        </w:trPr>
        <w:tc>
          <w:tcPr>
            <w:tcW w:w="715" w:type="dxa"/>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3</w:t>
            </w:r>
          </w:p>
        </w:tc>
        <w:tc>
          <w:tcPr>
            <w:tcW w:w="1985" w:type="dxa"/>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安装人工</w:t>
            </w:r>
          </w:p>
        </w:tc>
        <w:tc>
          <w:tcPr>
            <w:tcW w:w="4700" w:type="dxa"/>
            <w:noWrap w:val="0"/>
            <w:vAlign w:val="center"/>
          </w:tcPr>
          <w:p>
            <w:pPr>
              <w:spacing w:line="240" w:lineRule="auto"/>
              <w:jc w:val="lef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安装施工调试</w:t>
            </w:r>
          </w:p>
        </w:tc>
        <w:tc>
          <w:tcPr>
            <w:tcW w:w="786" w:type="dxa"/>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1</w:t>
            </w:r>
          </w:p>
        </w:tc>
        <w:tc>
          <w:tcPr>
            <w:tcW w:w="1086" w:type="dxa"/>
            <w:noWrap w:val="0"/>
            <w:vAlign w:val="center"/>
          </w:tcPr>
          <w:p>
            <w:pPr>
              <w:spacing w:line="240" w:lineRule="auto"/>
              <w:jc w:val="center"/>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批</w:t>
            </w:r>
          </w:p>
        </w:tc>
      </w:tr>
    </w:tbl>
    <w:p>
      <w:pPr>
        <w:ind w:firstLine="420" w:firstLineChars="200"/>
        <w:rPr>
          <w:rFonts w:ascii="宋体" w:hAnsi="宋体" w:hint="eastAsia"/>
          <w:b/>
          <w:bCs/>
          <w:szCs w:val="21"/>
        </w:rPr>
      </w:pPr>
      <w:r>
        <w:rPr>
          <w:rFonts w:ascii="宋体" w:hAnsi="宋体" w:hint="eastAsia"/>
          <w:b/>
          <w:bCs/>
          <w:szCs w:val="21"/>
          <w:lang w:val="en-US" w:eastAsia="zh-CN"/>
        </w:rPr>
        <w:t>3.</w:t>
      </w:r>
      <w:r>
        <w:rPr>
          <w:rFonts w:ascii="宋体" w:hAnsi="宋体" w:hint="eastAsia"/>
          <w:b/>
          <w:bCs/>
          <w:szCs w:val="21"/>
        </w:rPr>
        <w:t>展示屏基础参数要求</w:t>
      </w:r>
    </w:p>
    <w:tbl>
      <w:tblPr>
        <w:tblStyle w:val="TableNormal"/>
        <w:tblW w:w="9274"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967"/>
        <w:gridCol w:w="7307"/>
      </w:tblGrid>
      <w:tr>
        <w:tblPrEx>
          <w:tblW w:w="9274"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rPr>
                <w:rFonts w:ascii="宋体" w:eastAsia="宋体" w:hAnsi="宋体" w:cs="宋体" w:hint="eastAsia"/>
                <w:bCs/>
                <w:color w:val="000000"/>
                <w:sz w:val="21"/>
                <w:szCs w:val="21"/>
                <w:highlight w:val="none"/>
              </w:rPr>
            </w:pPr>
            <w:r>
              <w:rPr>
                <w:rFonts w:ascii="宋体" w:eastAsia="宋体" w:hAnsi="宋体" w:cs="宋体" w:hint="eastAsia"/>
                <w:bCs/>
                <w:color w:val="000000"/>
                <w:sz w:val="21"/>
                <w:szCs w:val="21"/>
                <w:highlight w:val="none"/>
              </w:rPr>
              <w:t>尺寸</w:t>
            </w:r>
          </w:p>
        </w:tc>
        <w:tc>
          <w:tcPr>
            <w:tcW w:w="7307" w:type="dxa"/>
            <w:noWrap w:val="0"/>
            <w:vAlign w:val="center"/>
          </w:tcPr>
          <w:p>
            <w:pPr>
              <w:autoSpaceDE w:val="0"/>
              <w:autoSpaceDN w:val="0"/>
              <w:spacing w:line="360" w:lineRule="exact"/>
              <w:rPr>
                <w:rFonts w:ascii="宋体" w:eastAsia="宋体" w:hAnsi="宋体" w:cs="宋体" w:hint="eastAsia"/>
                <w:bCs/>
                <w:color w:val="000000"/>
                <w:sz w:val="21"/>
                <w:szCs w:val="21"/>
                <w:highlight w:val="none"/>
              </w:rPr>
            </w:pPr>
            <w:r>
              <w:rPr>
                <w:rFonts w:hint="eastAsia"/>
                <w:lang w:val="en-US" w:eastAsia="zh-CN"/>
              </w:rPr>
              <w:t>≥</w:t>
            </w:r>
            <w:r>
              <w:rPr>
                <w:rFonts w:ascii="宋体" w:eastAsia="宋体" w:hAnsi="宋体" w:cs="宋体" w:hint="eastAsia"/>
                <w:bCs/>
                <w:color w:val="000000"/>
                <w:sz w:val="21"/>
                <w:szCs w:val="21"/>
                <w:highlight w:val="none"/>
              </w:rPr>
              <w:t>42 Inch</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rPr>
                <w:rFonts w:ascii="宋体" w:eastAsia="宋体" w:hAnsi="宋体" w:cs="宋体" w:hint="eastAsia"/>
                <w:bCs/>
                <w:color w:val="000000"/>
                <w:sz w:val="21"/>
                <w:szCs w:val="21"/>
                <w:highlight w:val="none"/>
              </w:rPr>
            </w:pPr>
            <w:r>
              <w:rPr>
                <w:rFonts w:ascii="宋体" w:eastAsia="宋体" w:hAnsi="宋体" w:cs="宋体" w:hint="eastAsia"/>
                <w:bCs/>
                <w:color w:val="000000"/>
                <w:sz w:val="21"/>
                <w:szCs w:val="21"/>
                <w:highlight w:val="none"/>
              </w:rPr>
              <w:t>屏幕比例</w:t>
            </w:r>
          </w:p>
        </w:tc>
        <w:tc>
          <w:tcPr>
            <w:tcW w:w="7307" w:type="dxa"/>
            <w:noWrap w:val="0"/>
            <w:vAlign w:val="center"/>
          </w:tcPr>
          <w:p>
            <w:pPr>
              <w:autoSpaceDE w:val="0"/>
              <w:autoSpaceDN w:val="0"/>
              <w:spacing w:line="360" w:lineRule="exact"/>
              <w:rPr>
                <w:rFonts w:ascii="宋体" w:eastAsia="宋体" w:hAnsi="宋体" w:cs="宋体" w:hint="eastAsia"/>
                <w:bCs/>
                <w:color w:val="000000"/>
                <w:sz w:val="21"/>
                <w:szCs w:val="21"/>
                <w:highlight w:val="none"/>
              </w:rPr>
            </w:pPr>
            <w:r>
              <w:rPr>
                <w:rFonts w:ascii="宋体" w:eastAsia="宋体" w:hAnsi="宋体" w:cs="宋体" w:hint="eastAsia"/>
                <w:bCs/>
                <w:color w:val="000000"/>
                <w:sz w:val="21"/>
                <w:szCs w:val="21"/>
                <w:highlight w:val="none"/>
              </w:rPr>
              <w:t>16:9</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rPr>
                <w:rFonts w:ascii="宋体" w:eastAsia="宋体" w:hAnsi="宋体" w:cs="宋体" w:hint="eastAsia"/>
                <w:bCs/>
                <w:color w:val="000000"/>
                <w:sz w:val="21"/>
                <w:szCs w:val="21"/>
                <w:highlight w:val="none"/>
              </w:rPr>
            </w:pPr>
            <w:r>
              <w:rPr>
                <w:rFonts w:ascii="宋体" w:eastAsia="宋体" w:hAnsi="宋体" w:cs="宋体" w:hint="eastAsia"/>
                <w:bCs/>
                <w:color w:val="000000"/>
                <w:sz w:val="21"/>
                <w:szCs w:val="21"/>
                <w:highlight w:val="none"/>
              </w:rPr>
              <w:t>分辨率</w:t>
            </w:r>
          </w:p>
        </w:tc>
        <w:tc>
          <w:tcPr>
            <w:tcW w:w="7307" w:type="dxa"/>
            <w:noWrap w:val="0"/>
            <w:vAlign w:val="center"/>
          </w:tcPr>
          <w:p>
            <w:pPr>
              <w:autoSpaceDE w:val="0"/>
              <w:autoSpaceDN w:val="0"/>
              <w:spacing w:line="360" w:lineRule="exact"/>
              <w:rPr>
                <w:rFonts w:ascii="宋体" w:eastAsia="宋体" w:hAnsi="宋体" w:cs="宋体" w:hint="eastAsia"/>
                <w:bCs/>
                <w:color w:val="000000"/>
                <w:sz w:val="21"/>
                <w:szCs w:val="21"/>
                <w:highlight w:val="none"/>
              </w:rPr>
            </w:pPr>
            <w:r>
              <w:rPr>
                <w:rFonts w:ascii="宋体" w:eastAsia="宋体" w:hAnsi="宋体" w:cs="宋体" w:hint="eastAsia"/>
                <w:bCs/>
                <w:color w:val="000000"/>
                <w:sz w:val="21"/>
                <w:szCs w:val="21"/>
                <w:highlight w:val="none"/>
              </w:rPr>
              <w:t>1920 x1080</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bCs/>
                <w:color w:val="000000"/>
                <w:sz w:val="21"/>
                <w:szCs w:val="21"/>
                <w:highlight w:val="none"/>
              </w:rPr>
            </w:pPr>
            <w:r>
              <w:rPr>
                <w:rFonts w:ascii="宋体" w:eastAsia="宋体" w:hAnsi="宋体" w:cs="宋体" w:hint="eastAsia"/>
                <w:bCs/>
                <w:color w:val="000000"/>
                <w:sz w:val="21"/>
                <w:szCs w:val="21"/>
                <w:highlight w:val="none"/>
              </w:rPr>
              <w:t>亮度</w:t>
            </w:r>
          </w:p>
        </w:tc>
        <w:tc>
          <w:tcPr>
            <w:tcW w:w="7307" w:type="dxa"/>
            <w:noWrap w:val="0"/>
            <w:vAlign w:val="center"/>
          </w:tcPr>
          <w:p>
            <w:pPr>
              <w:autoSpaceDE w:val="0"/>
              <w:autoSpaceDN w:val="0"/>
              <w:spacing w:line="360" w:lineRule="exact"/>
              <w:jc w:val="left"/>
              <w:rPr>
                <w:rFonts w:ascii="宋体" w:eastAsia="宋体" w:hAnsi="宋体" w:cs="宋体" w:hint="eastAsia"/>
                <w:bCs/>
                <w:color w:val="000000"/>
                <w:sz w:val="21"/>
                <w:szCs w:val="21"/>
                <w:highlight w:val="none"/>
              </w:rPr>
            </w:pPr>
            <w:r>
              <w:rPr>
                <w:rFonts w:ascii="宋体" w:eastAsia="宋体" w:hAnsi="宋体" w:cs="宋体" w:hint="eastAsia"/>
                <w:bCs/>
                <w:color w:val="000000"/>
                <w:sz w:val="21"/>
                <w:szCs w:val="21"/>
                <w:highlight w:val="none"/>
              </w:rPr>
              <w:t>350cd/m</w:t>
            </w:r>
            <w:r>
              <w:rPr>
                <w:rFonts w:ascii="宋体" w:eastAsia="宋体" w:hAnsi="宋体" w:cs="宋体" w:hint="eastAsia"/>
                <w:bCs/>
                <w:color w:val="000000"/>
                <w:sz w:val="21"/>
                <w:szCs w:val="21"/>
                <w:highlight w:val="none"/>
                <w:vertAlign w:val="superscript"/>
              </w:rPr>
              <w:t>2</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bCs/>
                <w:color w:val="000000"/>
                <w:sz w:val="21"/>
                <w:szCs w:val="21"/>
                <w:highlight w:val="none"/>
              </w:rPr>
            </w:pPr>
            <w:r>
              <w:rPr>
                <w:rFonts w:ascii="宋体" w:eastAsia="宋体" w:hAnsi="宋体" w:cs="宋体" w:hint="eastAsia"/>
                <w:bCs/>
                <w:color w:val="000000"/>
                <w:sz w:val="21"/>
                <w:szCs w:val="21"/>
                <w:highlight w:val="none"/>
              </w:rPr>
              <w:t>CPU</w:t>
            </w:r>
          </w:p>
        </w:tc>
        <w:tc>
          <w:tcPr>
            <w:tcW w:w="7307" w:type="dxa"/>
            <w:noWrap w:val="0"/>
            <w:vAlign w:val="center"/>
          </w:tcPr>
          <w:p>
            <w:pPr>
              <w:autoSpaceDE w:val="0"/>
              <w:autoSpaceDN w:val="0"/>
              <w:jc w:val="left"/>
              <w:rPr>
                <w:rFonts w:ascii="宋体" w:eastAsia="宋体" w:hAnsi="宋体" w:cs="宋体" w:hint="eastAsia"/>
                <w:bCs/>
                <w:color w:val="000000"/>
                <w:sz w:val="21"/>
                <w:szCs w:val="21"/>
                <w:highlight w:val="none"/>
              </w:rPr>
            </w:pPr>
            <w:r>
              <w:rPr>
                <w:rFonts w:ascii="宋体" w:eastAsia="宋体" w:hAnsi="宋体" w:cs="宋体" w:hint="eastAsia"/>
                <w:color w:val="000000"/>
                <w:sz w:val="21"/>
                <w:szCs w:val="21"/>
                <w:highlight w:val="none"/>
              </w:rPr>
              <w:t>四核处理器 主频</w:t>
            </w:r>
            <w:r>
              <w:rPr>
                <w:rFonts w:hint="eastAsia"/>
                <w:lang w:val="en-US" w:eastAsia="zh-CN"/>
              </w:rPr>
              <w:t>≥</w:t>
            </w:r>
            <w:r>
              <w:rPr>
                <w:rFonts w:ascii="宋体" w:eastAsia="宋体" w:hAnsi="宋体" w:cs="宋体" w:hint="eastAsia"/>
                <w:color w:val="000000"/>
                <w:sz w:val="21"/>
                <w:szCs w:val="21"/>
                <w:highlight w:val="none"/>
              </w:rPr>
              <w:t>1.9GHz</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bCs/>
                <w:color w:val="000000"/>
                <w:sz w:val="21"/>
                <w:szCs w:val="21"/>
                <w:highlight w:val="none"/>
              </w:rPr>
            </w:pPr>
            <w:r>
              <w:rPr>
                <w:rFonts w:ascii="宋体" w:eastAsia="宋体" w:hAnsi="宋体" w:cs="宋体" w:hint="eastAsia"/>
                <w:color w:val="000000"/>
                <w:kern w:val="0"/>
                <w:sz w:val="21"/>
                <w:szCs w:val="21"/>
                <w:highlight w:val="none"/>
              </w:rPr>
              <w:t>内存</w:t>
            </w:r>
          </w:p>
        </w:tc>
        <w:tc>
          <w:tcPr>
            <w:tcW w:w="7307" w:type="dxa"/>
            <w:noWrap w:val="0"/>
            <w:vAlign w:val="center"/>
          </w:tcPr>
          <w:p>
            <w:pPr>
              <w:autoSpaceDE w:val="0"/>
              <w:autoSpaceDN w:val="0"/>
              <w:spacing w:line="360" w:lineRule="exact"/>
              <w:jc w:val="left"/>
              <w:rPr>
                <w:rFonts w:ascii="宋体" w:eastAsia="宋体" w:hAnsi="宋体" w:cs="宋体" w:hint="eastAsia"/>
                <w:bCs/>
                <w:color w:val="000000"/>
                <w:sz w:val="21"/>
                <w:szCs w:val="21"/>
                <w:highlight w:val="none"/>
              </w:rPr>
            </w:pPr>
            <w:r>
              <w:rPr>
                <w:rFonts w:ascii="宋体" w:eastAsia="宋体" w:hAnsi="宋体" w:cs="宋体" w:hint="eastAsia"/>
                <w:color w:val="000000"/>
                <w:sz w:val="21"/>
                <w:szCs w:val="21"/>
                <w:highlight w:val="none"/>
              </w:rPr>
              <w:t>不小于2G DDR3</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解码分辨率</w:t>
            </w:r>
          </w:p>
        </w:tc>
        <w:tc>
          <w:tcPr>
            <w:tcW w:w="7307" w:type="dxa"/>
            <w:noWrap w:val="0"/>
            <w:vAlign w:val="center"/>
          </w:tcPr>
          <w:p>
            <w:pPr>
              <w:autoSpaceDE w:val="0"/>
              <w:autoSpaceDN w:val="0"/>
              <w:spacing w:line="360" w:lineRule="exact"/>
              <w:jc w:val="lef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1080P</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操作系统</w:t>
            </w:r>
          </w:p>
        </w:tc>
        <w:tc>
          <w:tcPr>
            <w:tcW w:w="7307" w:type="dxa"/>
            <w:noWrap w:val="0"/>
            <w:vAlign w:val="center"/>
          </w:tcPr>
          <w:p>
            <w:pPr>
              <w:autoSpaceDE w:val="0"/>
              <w:autoSpaceDN w:val="0"/>
              <w:spacing w:line="360" w:lineRule="exact"/>
              <w:jc w:val="lef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Android 7.1或以上</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网络支持</w:t>
            </w:r>
          </w:p>
        </w:tc>
        <w:tc>
          <w:tcPr>
            <w:tcW w:w="7307" w:type="dxa"/>
            <w:noWrap w:val="0"/>
            <w:vAlign w:val="center"/>
          </w:tcPr>
          <w:p>
            <w:pPr>
              <w:autoSpaceDE w:val="0"/>
              <w:autoSpaceDN w:val="0"/>
              <w:spacing w:line="360" w:lineRule="exact"/>
              <w:jc w:val="lef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以太网，WiFi</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bCs/>
                <w:color w:val="000000"/>
                <w:sz w:val="21"/>
                <w:szCs w:val="21"/>
                <w:highlight w:val="none"/>
              </w:rPr>
            </w:pPr>
            <w:r>
              <w:rPr>
                <w:rFonts w:ascii="宋体" w:eastAsia="宋体" w:hAnsi="宋体" w:cs="宋体" w:hint="eastAsia"/>
                <w:color w:val="000000"/>
                <w:kern w:val="0"/>
                <w:sz w:val="21"/>
                <w:szCs w:val="21"/>
                <w:highlight w:val="none"/>
              </w:rPr>
              <w:t>音频输出</w:t>
            </w:r>
          </w:p>
        </w:tc>
        <w:tc>
          <w:tcPr>
            <w:tcW w:w="7307" w:type="dxa"/>
            <w:noWrap w:val="0"/>
            <w:vAlign w:val="center"/>
          </w:tcPr>
          <w:p>
            <w:pPr>
              <w:autoSpaceDE w:val="0"/>
              <w:autoSpaceDN w:val="0"/>
              <w:spacing w:line="360" w:lineRule="exact"/>
              <w:jc w:val="left"/>
              <w:rPr>
                <w:rFonts w:ascii="宋体" w:eastAsia="宋体" w:hAnsi="宋体" w:cs="宋体" w:hint="eastAsia"/>
                <w:bCs/>
                <w:color w:val="000000"/>
                <w:sz w:val="21"/>
                <w:szCs w:val="21"/>
                <w:highlight w:val="none"/>
              </w:rPr>
            </w:pPr>
            <w:r>
              <w:rPr>
                <w:rFonts w:ascii="宋体" w:eastAsia="宋体" w:hAnsi="宋体" w:cs="宋体" w:hint="eastAsia"/>
                <w:color w:val="000000"/>
                <w:kern w:val="0"/>
                <w:sz w:val="21"/>
                <w:szCs w:val="21"/>
                <w:highlight w:val="none"/>
              </w:rPr>
              <w:t>双声道立体音频输出</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bCs/>
                <w:color w:val="000000"/>
                <w:sz w:val="21"/>
                <w:szCs w:val="21"/>
                <w:highlight w:val="none"/>
              </w:rPr>
            </w:pPr>
            <w:r>
              <w:rPr>
                <w:rFonts w:ascii="宋体" w:eastAsia="宋体" w:hAnsi="宋体" w:cs="宋体" w:hint="eastAsia"/>
                <w:color w:val="000000"/>
                <w:kern w:val="0"/>
                <w:sz w:val="21"/>
                <w:szCs w:val="21"/>
                <w:highlight w:val="none"/>
              </w:rPr>
              <w:t>网络接口</w:t>
            </w:r>
          </w:p>
        </w:tc>
        <w:tc>
          <w:tcPr>
            <w:tcW w:w="7307" w:type="dxa"/>
            <w:noWrap w:val="0"/>
            <w:vAlign w:val="center"/>
          </w:tcPr>
          <w:p>
            <w:pPr>
              <w:autoSpaceDE w:val="0"/>
              <w:autoSpaceDN w:val="0"/>
              <w:spacing w:line="360" w:lineRule="exact"/>
              <w:jc w:val="left"/>
              <w:rPr>
                <w:rFonts w:ascii="宋体" w:eastAsia="宋体" w:hAnsi="宋体" w:cs="宋体" w:hint="eastAsia"/>
                <w:bCs/>
                <w:color w:val="000000"/>
                <w:sz w:val="21"/>
                <w:szCs w:val="21"/>
                <w:highlight w:val="none"/>
              </w:rPr>
            </w:pPr>
            <w:r>
              <w:rPr>
                <w:rFonts w:ascii="宋体" w:eastAsia="宋体" w:hAnsi="宋体" w:cs="宋体" w:hint="eastAsia"/>
                <w:color w:val="000000"/>
                <w:kern w:val="0"/>
                <w:sz w:val="21"/>
                <w:szCs w:val="21"/>
                <w:highlight w:val="none"/>
              </w:rPr>
              <w:t>RJ45 10/100M 网络自适应</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kern w:val="0"/>
                <w:sz w:val="21"/>
                <w:szCs w:val="21"/>
                <w:highlight w:val="none"/>
              </w:rPr>
              <w:t>接口</w:t>
            </w:r>
          </w:p>
        </w:tc>
        <w:tc>
          <w:tcPr>
            <w:tcW w:w="730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sz w:val="21"/>
                <w:szCs w:val="21"/>
                <w:highlight w:val="none"/>
              </w:rPr>
              <w:t>2个USB HOST，1路HDMI输入</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kern w:val="0"/>
                <w:sz w:val="21"/>
                <w:szCs w:val="21"/>
                <w:highlight w:val="none"/>
              </w:rPr>
              <w:t>视频播放</w:t>
            </w:r>
          </w:p>
        </w:tc>
        <w:tc>
          <w:tcPr>
            <w:tcW w:w="730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kern w:val="0"/>
                <w:sz w:val="21"/>
                <w:szCs w:val="21"/>
                <w:highlight w:val="none"/>
              </w:rPr>
              <w:t>H.264 MKV  WMV9　MPEG 1/2/4  HD Divx  Xvid RM/RMVB</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kern w:val="0"/>
                <w:sz w:val="21"/>
                <w:szCs w:val="21"/>
                <w:highlight w:val="none"/>
              </w:rPr>
              <w:t>音频播放</w:t>
            </w:r>
          </w:p>
        </w:tc>
        <w:tc>
          <w:tcPr>
            <w:tcW w:w="730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kern w:val="0"/>
                <w:sz w:val="21"/>
                <w:szCs w:val="21"/>
                <w:highlight w:val="none"/>
              </w:rPr>
              <w:t>MP3,WMA,WAV,EAAC+, MP2 dec, Vorbis(Ogg), AC3, FLAC（无损音频）, APE（无损音频）, BSAC</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kern w:val="0"/>
                <w:sz w:val="21"/>
                <w:szCs w:val="21"/>
                <w:highlight w:val="none"/>
              </w:rPr>
              <w:t>图片播放</w:t>
            </w:r>
          </w:p>
        </w:tc>
        <w:tc>
          <w:tcPr>
            <w:tcW w:w="730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kern w:val="0"/>
                <w:sz w:val="21"/>
                <w:szCs w:val="21"/>
                <w:highlight w:val="none"/>
              </w:rPr>
              <w:t>BMP/PNG/GIF/JPEG</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kern w:val="0"/>
                <w:sz w:val="21"/>
                <w:szCs w:val="21"/>
                <w:highlight w:val="none"/>
              </w:rPr>
              <w:t>文字</w:t>
            </w:r>
          </w:p>
        </w:tc>
        <w:tc>
          <w:tcPr>
            <w:tcW w:w="730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kern w:val="0"/>
                <w:sz w:val="21"/>
                <w:szCs w:val="21"/>
                <w:highlight w:val="none"/>
              </w:rPr>
              <w:t>TXT</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sz w:val="21"/>
                <w:szCs w:val="21"/>
                <w:highlight w:val="none"/>
              </w:rPr>
              <w:t>RTC实时时钟</w:t>
            </w:r>
          </w:p>
        </w:tc>
        <w:tc>
          <w:tcPr>
            <w:tcW w:w="730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sz w:val="21"/>
                <w:szCs w:val="21"/>
                <w:highlight w:val="none"/>
              </w:rPr>
              <w:t>支持</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sz w:val="21"/>
                <w:szCs w:val="21"/>
                <w:highlight w:val="none"/>
              </w:rPr>
              <w:t>定时开关机</w:t>
            </w:r>
          </w:p>
        </w:tc>
        <w:tc>
          <w:tcPr>
            <w:tcW w:w="730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sz w:val="21"/>
                <w:szCs w:val="21"/>
                <w:highlight w:val="none"/>
              </w:rPr>
              <w:t>软件管理端网络远程</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sz w:val="21"/>
                <w:szCs w:val="21"/>
                <w:highlight w:val="none"/>
              </w:rPr>
              <w:t>系统升级</w:t>
            </w:r>
          </w:p>
        </w:tc>
        <w:tc>
          <w:tcPr>
            <w:tcW w:w="730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sz w:val="21"/>
                <w:szCs w:val="21"/>
                <w:highlight w:val="none"/>
              </w:rPr>
              <w:t>支持USB/T卡/网络升级</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信息发布</w:t>
            </w:r>
          </w:p>
        </w:tc>
        <w:tc>
          <w:tcPr>
            <w:tcW w:w="7307" w:type="dxa"/>
            <w:noWrap w:val="0"/>
            <w:vAlign w:val="center"/>
          </w:tcPr>
          <w:p>
            <w:pPr>
              <w:autoSpaceDE w:val="0"/>
              <w:autoSpaceDN w:val="0"/>
              <w:spacing w:line="360" w:lineRule="exact"/>
              <w:jc w:val="lef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支持远程节目发布管理</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rPr>
                <w:rFonts w:ascii="宋体" w:eastAsia="宋体" w:hAnsi="宋体" w:cs="宋体" w:hint="eastAsia"/>
                <w:color w:val="000000"/>
                <w:sz w:val="21"/>
                <w:szCs w:val="21"/>
                <w:highlight w:val="none"/>
              </w:rPr>
            </w:pPr>
            <w:r>
              <w:rPr>
                <w:rFonts w:ascii="宋体" w:eastAsia="宋体" w:hAnsi="宋体" w:cs="宋体" w:hint="eastAsia"/>
                <w:color w:val="000000"/>
                <w:kern w:val="0"/>
                <w:sz w:val="21"/>
                <w:szCs w:val="21"/>
                <w:highlight w:val="none"/>
              </w:rPr>
              <w:t>喇叭</w:t>
            </w:r>
          </w:p>
        </w:tc>
        <w:tc>
          <w:tcPr>
            <w:tcW w:w="7307" w:type="dxa"/>
            <w:noWrap w:val="0"/>
            <w:vAlign w:val="center"/>
          </w:tcPr>
          <w:p>
            <w:pPr>
              <w:autoSpaceDE w:val="0"/>
              <w:autoSpaceDN w:val="0"/>
              <w:spacing w:line="360" w:lineRule="exact"/>
              <w:rPr>
                <w:rFonts w:ascii="宋体" w:eastAsia="宋体" w:hAnsi="宋体" w:cs="宋体" w:hint="eastAsia"/>
                <w:color w:val="000000"/>
                <w:sz w:val="21"/>
                <w:szCs w:val="21"/>
                <w:highlight w:val="none"/>
              </w:rPr>
            </w:pPr>
            <w:r>
              <w:rPr>
                <w:rFonts w:ascii="宋体" w:eastAsia="宋体" w:hAnsi="宋体" w:cs="宋体" w:hint="eastAsia"/>
                <w:color w:val="000000"/>
                <w:kern w:val="0"/>
                <w:sz w:val="21"/>
                <w:szCs w:val="21"/>
                <w:highlight w:val="none"/>
              </w:rPr>
              <w:t>2×5W(8Ω)</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rPr>
                <w:rFonts w:ascii="宋体" w:eastAsia="宋体" w:hAnsi="宋体" w:cs="宋体" w:hint="eastAsia"/>
                <w:color w:val="000000"/>
                <w:sz w:val="21"/>
                <w:szCs w:val="21"/>
                <w:highlight w:val="none"/>
              </w:rPr>
            </w:pPr>
            <w:r>
              <w:rPr>
                <w:rFonts w:ascii="宋体" w:eastAsia="宋体" w:hAnsi="宋体" w:cs="宋体" w:hint="eastAsia"/>
                <w:color w:val="000000"/>
                <w:kern w:val="0"/>
                <w:sz w:val="21"/>
                <w:szCs w:val="21"/>
                <w:highlight w:val="none"/>
              </w:rPr>
              <w:t>声音模式</w:t>
            </w:r>
          </w:p>
        </w:tc>
        <w:tc>
          <w:tcPr>
            <w:tcW w:w="7307" w:type="dxa"/>
            <w:noWrap w:val="0"/>
            <w:vAlign w:val="center"/>
          </w:tcPr>
          <w:p>
            <w:pPr>
              <w:autoSpaceDE w:val="0"/>
              <w:autoSpaceDN w:val="0"/>
              <w:spacing w:line="360" w:lineRule="exact"/>
              <w:rPr>
                <w:rFonts w:ascii="宋体" w:eastAsia="宋体" w:hAnsi="宋体" w:cs="宋体" w:hint="eastAsia"/>
                <w:color w:val="000000"/>
                <w:sz w:val="21"/>
                <w:szCs w:val="21"/>
                <w:highlight w:val="none"/>
              </w:rPr>
            </w:pPr>
            <w:r>
              <w:rPr>
                <w:rFonts w:ascii="宋体" w:eastAsia="宋体" w:hAnsi="宋体" w:cs="宋体" w:hint="eastAsia"/>
                <w:color w:val="000000"/>
                <w:kern w:val="0"/>
                <w:sz w:val="21"/>
                <w:szCs w:val="21"/>
                <w:highlight w:val="none"/>
              </w:rPr>
              <w:t>立体声</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rPr>
                <w:rFonts w:ascii="宋体" w:eastAsia="宋体" w:hAnsi="宋体" w:cs="宋体" w:hint="eastAsia"/>
                <w:color w:val="000000"/>
                <w:sz w:val="21"/>
                <w:szCs w:val="21"/>
                <w:highlight w:val="none"/>
              </w:rPr>
            </w:pPr>
            <w:r>
              <w:rPr>
                <w:rFonts w:ascii="宋体" w:eastAsia="宋体" w:hAnsi="宋体" w:cs="宋体" w:hint="eastAsia"/>
                <w:color w:val="000000"/>
                <w:kern w:val="0"/>
                <w:sz w:val="21"/>
                <w:szCs w:val="21"/>
                <w:highlight w:val="none"/>
              </w:rPr>
              <w:t>输入电压</w:t>
            </w:r>
          </w:p>
        </w:tc>
        <w:tc>
          <w:tcPr>
            <w:tcW w:w="7307" w:type="dxa"/>
            <w:noWrap w:val="0"/>
            <w:vAlign w:val="center"/>
          </w:tcPr>
          <w:p>
            <w:pPr>
              <w:autoSpaceDE w:val="0"/>
              <w:autoSpaceDN w:val="0"/>
              <w:spacing w:line="360" w:lineRule="exact"/>
              <w:rPr>
                <w:rFonts w:ascii="宋体" w:eastAsia="宋体" w:hAnsi="宋体" w:cs="宋体" w:hint="eastAsia"/>
                <w:color w:val="000000"/>
                <w:sz w:val="21"/>
                <w:szCs w:val="21"/>
                <w:highlight w:val="none"/>
              </w:rPr>
            </w:pPr>
            <w:r>
              <w:rPr>
                <w:rFonts w:ascii="宋体" w:eastAsia="宋体" w:hAnsi="宋体" w:cs="宋体" w:hint="eastAsia"/>
                <w:color w:val="000000"/>
                <w:kern w:val="0"/>
                <w:sz w:val="21"/>
                <w:szCs w:val="21"/>
                <w:highlight w:val="none"/>
              </w:rPr>
              <w:t>AC100-240v 50/60HZ</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rPr>
                <w:rFonts w:ascii="宋体" w:eastAsia="宋体" w:hAnsi="宋体" w:cs="宋体" w:hint="eastAsia"/>
                <w:color w:val="000000"/>
                <w:sz w:val="21"/>
                <w:szCs w:val="21"/>
                <w:highlight w:val="none"/>
              </w:rPr>
            </w:pPr>
            <w:r>
              <w:rPr>
                <w:rFonts w:ascii="宋体" w:eastAsia="宋体" w:hAnsi="宋体" w:cs="宋体" w:hint="eastAsia"/>
                <w:color w:val="000000"/>
                <w:kern w:val="0"/>
                <w:sz w:val="21"/>
                <w:szCs w:val="21"/>
                <w:highlight w:val="none"/>
              </w:rPr>
              <w:t>待机功率</w:t>
            </w:r>
          </w:p>
        </w:tc>
        <w:tc>
          <w:tcPr>
            <w:tcW w:w="7307" w:type="dxa"/>
            <w:noWrap w:val="0"/>
            <w:vAlign w:val="center"/>
          </w:tcPr>
          <w:p>
            <w:pPr>
              <w:autoSpaceDE w:val="0"/>
              <w:autoSpaceDN w:val="0"/>
              <w:spacing w:line="360" w:lineRule="exact"/>
              <w:rPr>
                <w:rFonts w:ascii="宋体" w:eastAsia="宋体" w:hAnsi="宋体" w:cs="宋体" w:hint="eastAsia"/>
                <w:color w:val="000000"/>
                <w:sz w:val="21"/>
                <w:szCs w:val="21"/>
                <w:highlight w:val="none"/>
              </w:rPr>
            </w:pPr>
            <w:r>
              <w:rPr>
                <w:rFonts w:ascii="宋体" w:eastAsia="宋体" w:hAnsi="宋体" w:cs="宋体" w:hint="eastAsia"/>
                <w:color w:val="000000"/>
                <w:kern w:val="0"/>
                <w:sz w:val="21"/>
                <w:szCs w:val="21"/>
                <w:highlight w:val="none"/>
              </w:rPr>
              <w:t>≤1W,支持低功耗待机模式</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rPr>
                <w:rFonts w:ascii="宋体" w:eastAsia="宋体" w:hAnsi="宋体" w:cs="宋体" w:hint="eastAsia"/>
                <w:color w:val="000000"/>
                <w:sz w:val="21"/>
                <w:szCs w:val="21"/>
                <w:highlight w:val="none"/>
              </w:rPr>
            </w:pPr>
            <w:r>
              <w:rPr>
                <w:rFonts w:ascii="宋体" w:eastAsia="宋体" w:hAnsi="宋体" w:cs="宋体" w:hint="eastAsia"/>
                <w:color w:val="000000"/>
                <w:kern w:val="0"/>
                <w:sz w:val="21"/>
                <w:szCs w:val="21"/>
                <w:highlight w:val="none"/>
              </w:rPr>
              <w:t>额定功率</w:t>
            </w:r>
          </w:p>
        </w:tc>
        <w:tc>
          <w:tcPr>
            <w:tcW w:w="7307" w:type="dxa"/>
            <w:noWrap w:val="0"/>
            <w:vAlign w:val="center"/>
          </w:tcPr>
          <w:p>
            <w:pPr>
              <w:autoSpaceDE w:val="0"/>
              <w:autoSpaceDN w:val="0"/>
              <w:spacing w:line="360" w:lineRule="exact"/>
              <w:rPr>
                <w:rFonts w:ascii="宋体" w:eastAsia="宋体" w:hAnsi="宋体" w:cs="宋体" w:hint="eastAsia"/>
                <w:color w:val="000000"/>
                <w:sz w:val="21"/>
                <w:szCs w:val="21"/>
                <w:highlight w:val="none"/>
              </w:rPr>
            </w:pPr>
            <w:r>
              <w:rPr>
                <w:rFonts w:ascii="宋体" w:eastAsia="宋体" w:hAnsi="宋体" w:cs="宋体" w:hint="eastAsia"/>
                <w:color w:val="000000"/>
                <w:kern w:val="0"/>
                <w:sz w:val="21"/>
                <w:szCs w:val="21"/>
                <w:highlight w:val="none"/>
              </w:rPr>
              <w:t>≤50W</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rPr>
                <w:rFonts w:ascii="宋体" w:eastAsia="宋体" w:hAnsi="宋体" w:cs="宋体" w:hint="eastAsia"/>
                <w:color w:val="000000"/>
                <w:kern w:val="0"/>
                <w:sz w:val="21"/>
                <w:szCs w:val="21"/>
                <w:highlight w:val="none"/>
              </w:rPr>
            </w:pPr>
            <w:r>
              <w:rPr>
                <w:rFonts w:ascii="宋体" w:eastAsia="宋体" w:hAnsi="宋体" w:cs="宋体" w:hint="eastAsia"/>
                <w:color w:val="000000"/>
                <w:sz w:val="21"/>
                <w:szCs w:val="21"/>
                <w:highlight w:val="none"/>
              </w:rPr>
              <w:t>工作温度</w:t>
            </w:r>
          </w:p>
        </w:tc>
        <w:tc>
          <w:tcPr>
            <w:tcW w:w="7307" w:type="dxa"/>
            <w:noWrap w:val="0"/>
            <w:vAlign w:val="center"/>
          </w:tcPr>
          <w:p>
            <w:pPr>
              <w:autoSpaceDE w:val="0"/>
              <w:autoSpaceDN w:val="0"/>
              <w:spacing w:line="360" w:lineRule="exact"/>
              <w:rPr>
                <w:rFonts w:ascii="宋体" w:eastAsia="宋体" w:hAnsi="宋体" w:cs="宋体" w:hint="eastAsia"/>
                <w:color w:val="000000"/>
                <w:kern w:val="0"/>
                <w:sz w:val="21"/>
                <w:szCs w:val="21"/>
                <w:highlight w:val="none"/>
              </w:rPr>
            </w:pPr>
            <w:r>
              <w:rPr>
                <w:rFonts w:ascii="宋体" w:eastAsia="宋体" w:hAnsi="宋体" w:cs="宋体" w:hint="eastAsia"/>
                <w:color w:val="000000"/>
                <w:sz w:val="21"/>
                <w:szCs w:val="21"/>
                <w:highlight w:val="none"/>
              </w:rPr>
              <w:t>-20℃～+60℃</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工作湿度</w:t>
            </w:r>
          </w:p>
        </w:tc>
        <w:tc>
          <w:tcPr>
            <w:tcW w:w="7307" w:type="dxa"/>
            <w:noWrap w:val="0"/>
            <w:vAlign w:val="center"/>
          </w:tcPr>
          <w:p>
            <w:pPr>
              <w:autoSpaceDE w:val="0"/>
              <w:autoSpaceDN w:val="0"/>
              <w:spacing w:line="360" w:lineRule="exact"/>
              <w:rPr>
                <w:rFonts w:ascii="宋体" w:eastAsia="宋体" w:hAnsi="宋体" w:cs="宋体" w:hint="eastAsia"/>
                <w:color w:val="000000"/>
                <w:sz w:val="21"/>
                <w:szCs w:val="21"/>
                <w:highlight w:val="none"/>
              </w:rPr>
            </w:pPr>
            <w:r>
              <w:rPr>
                <w:rFonts w:ascii="宋体" w:eastAsia="宋体" w:hAnsi="宋体" w:cs="宋体" w:hint="eastAsia"/>
                <w:color w:val="000000"/>
                <w:sz w:val="21"/>
                <w:szCs w:val="21"/>
                <w:highlight w:val="none"/>
              </w:rPr>
              <w:t>20%～80%</w:t>
            </w:r>
          </w:p>
        </w:tc>
      </w:tr>
      <w:tr>
        <w:tblPrEx>
          <w:tblW w:w="9274" w:type="dxa"/>
          <w:tblInd w:w="0" w:type="dxa"/>
          <w:tblLayout w:type="fixed"/>
          <w:tblCellMar>
            <w:top w:w="0" w:type="dxa"/>
            <w:left w:w="108" w:type="dxa"/>
            <w:bottom w:w="0" w:type="dxa"/>
            <w:right w:w="108" w:type="dxa"/>
          </w:tblCellMar>
        </w:tblPrEx>
        <w:trPr>
          <w:trHeight w:val="23"/>
        </w:trPr>
        <w:tc>
          <w:tcPr>
            <w:tcW w:w="1967" w:type="dxa"/>
            <w:noWrap w:val="0"/>
            <w:vAlign w:val="center"/>
          </w:tcPr>
          <w:p>
            <w:pPr>
              <w:autoSpaceDE w:val="0"/>
              <w:autoSpaceDN w:val="0"/>
              <w:spacing w:line="360" w:lineRule="exact"/>
              <w:jc w:val="left"/>
              <w:rPr>
                <w:rFonts w:ascii="宋体" w:eastAsia="宋体" w:hAnsi="宋体" w:cs="宋体" w:hint="eastAsia"/>
                <w:color w:val="000000"/>
                <w:kern w:val="0"/>
                <w:sz w:val="21"/>
                <w:szCs w:val="21"/>
                <w:highlight w:val="none"/>
              </w:rPr>
            </w:pPr>
            <w:r>
              <w:rPr>
                <w:rFonts w:ascii="宋体" w:eastAsia="宋体" w:hAnsi="宋体" w:cs="宋体" w:hint="eastAsia"/>
                <w:color w:val="000000"/>
                <w:kern w:val="0"/>
                <w:sz w:val="21"/>
                <w:szCs w:val="21"/>
                <w:highlight w:val="none"/>
              </w:rPr>
              <w:t>安装方式</w:t>
            </w:r>
          </w:p>
        </w:tc>
        <w:tc>
          <w:tcPr>
            <w:tcW w:w="7307" w:type="dxa"/>
            <w:noWrap w:val="0"/>
            <w:vAlign w:val="center"/>
          </w:tcPr>
          <w:p>
            <w:pPr>
              <w:autoSpaceDE w:val="0"/>
              <w:autoSpaceDN w:val="0"/>
              <w:spacing w:line="360" w:lineRule="exact"/>
              <w:jc w:val="left"/>
              <w:rPr>
                <w:rFonts w:ascii="宋体" w:eastAsia="宋体" w:hAnsi="宋体" w:cs="宋体" w:hint="eastAsia"/>
                <w:bCs/>
                <w:color w:val="000000"/>
                <w:sz w:val="21"/>
                <w:szCs w:val="21"/>
                <w:highlight w:val="none"/>
              </w:rPr>
            </w:pPr>
            <w:r>
              <w:rPr>
                <w:rFonts w:ascii="宋体" w:eastAsia="宋体" w:hAnsi="宋体" w:cs="宋体" w:hint="eastAsia"/>
                <w:bCs/>
                <w:color w:val="000000"/>
                <w:sz w:val="21"/>
                <w:szCs w:val="21"/>
                <w:highlight w:val="none"/>
              </w:rPr>
              <w:t>壁挂</w:t>
            </w:r>
          </w:p>
        </w:tc>
      </w:tr>
    </w:tbl>
    <w:p>
      <w:pPr>
        <w:spacing w:line="360" w:lineRule="auto"/>
        <w:ind w:firstLine="420" w:firstLineChars="200"/>
        <w:jc w:val="left"/>
        <w:rPr>
          <w:rFonts w:ascii="宋体" w:hAnsi="宋体" w:hint="eastAsia"/>
          <w:b/>
          <w:bCs/>
          <w:szCs w:val="21"/>
          <w:lang w:eastAsia="zh-CN"/>
        </w:rPr>
      </w:pPr>
      <w:r>
        <w:rPr>
          <w:rFonts w:ascii="宋体" w:hAnsi="宋体" w:hint="eastAsia"/>
          <w:b/>
          <w:bCs/>
          <w:szCs w:val="21"/>
          <w:lang w:val="en-US" w:eastAsia="zh-CN"/>
        </w:rPr>
        <w:t>（七）</w:t>
      </w:r>
      <w:r>
        <w:rPr>
          <w:rFonts w:ascii="宋体" w:hAnsi="宋体" w:hint="eastAsia"/>
          <w:b/>
          <w:bCs/>
          <w:szCs w:val="21"/>
          <w:lang w:eastAsia="zh-CN"/>
        </w:rPr>
        <w:t>传输及存储方式要求</w:t>
      </w:r>
    </w:p>
    <w:p>
      <w:pPr>
        <w:spacing w:line="360" w:lineRule="auto"/>
        <w:ind w:firstLine="420" w:firstLineChars="200"/>
        <w:jc w:val="left"/>
        <w:rPr>
          <w:rFonts w:ascii="宋体" w:hAnsi="宋体" w:hint="eastAsia"/>
          <w:szCs w:val="21"/>
        </w:rPr>
      </w:pPr>
      <w:r>
        <w:rPr>
          <w:rFonts w:ascii="宋体" w:hAnsi="宋体" w:hint="eastAsia"/>
          <w:szCs w:val="21"/>
          <w:lang w:val="en-US" w:eastAsia="zh-CN"/>
        </w:rPr>
        <w:t>1.</w:t>
      </w:r>
      <w:r>
        <w:rPr>
          <w:rFonts w:ascii="宋体" w:hAnsi="宋体" w:hint="eastAsia"/>
          <w:szCs w:val="21"/>
        </w:rPr>
        <w:t>餐饮单位端的视频接入线路组成一个网络；</w:t>
      </w:r>
    </w:p>
    <w:p>
      <w:pPr>
        <w:spacing w:line="360" w:lineRule="auto"/>
        <w:ind w:firstLine="420" w:firstLineChars="200"/>
        <w:jc w:val="left"/>
        <w:rPr>
          <w:rFonts w:ascii="宋体" w:hAnsi="宋体" w:hint="eastAsia"/>
          <w:szCs w:val="21"/>
        </w:rPr>
      </w:pPr>
      <w:r>
        <w:rPr>
          <w:rFonts w:ascii="宋体" w:hAnsi="宋体" w:hint="eastAsia"/>
          <w:szCs w:val="21"/>
          <w:lang w:val="en-US" w:eastAsia="zh-CN"/>
        </w:rPr>
        <w:t>2.</w:t>
      </w:r>
      <w:r>
        <w:rPr>
          <w:rFonts w:ascii="宋体" w:hAnsi="宋体" w:hint="eastAsia"/>
          <w:szCs w:val="21"/>
        </w:rPr>
        <w:t>每家餐饮单位或者学校食堂企业端视频接入带宽上行不低于10Mbps，下行不低于2Mbps。视频传输可采用有线方式及无线传输方式。</w:t>
      </w:r>
    </w:p>
    <w:p>
      <w:pPr>
        <w:spacing w:line="360" w:lineRule="auto"/>
        <w:ind w:firstLine="420" w:firstLineChars="200"/>
        <w:jc w:val="left"/>
        <w:rPr>
          <w:rFonts w:ascii="宋体" w:hAnsi="宋体" w:hint="eastAsia"/>
          <w:szCs w:val="21"/>
        </w:rPr>
      </w:pPr>
      <w:r>
        <w:rPr>
          <w:rFonts w:ascii="宋体" w:hAnsi="宋体" w:hint="eastAsia"/>
          <w:szCs w:val="21"/>
          <w:lang w:val="en-US" w:eastAsia="zh-CN"/>
        </w:rPr>
        <w:t>3.汇聚点提供1条不低于100</w:t>
      </w:r>
      <w:r>
        <w:rPr>
          <w:rFonts w:ascii="宋体" w:hAnsi="宋体" w:hint="eastAsia"/>
          <w:szCs w:val="21"/>
        </w:rPr>
        <w:t>Mbps</w:t>
      </w:r>
      <w:r>
        <w:rPr>
          <w:rFonts w:ascii="宋体" w:hAnsi="宋体" w:hint="eastAsia"/>
          <w:szCs w:val="21"/>
          <w:lang w:val="en-US" w:eastAsia="zh-CN"/>
        </w:rPr>
        <w:t>上下行对等的互联网专线。</w:t>
      </w:r>
    </w:p>
    <w:p>
      <w:pPr>
        <w:spacing w:line="360" w:lineRule="auto"/>
        <w:ind w:firstLine="420" w:firstLineChars="200"/>
        <w:jc w:val="left"/>
        <w:rPr>
          <w:rFonts w:ascii="宋体" w:hAnsi="宋体" w:hint="eastAsia"/>
          <w:szCs w:val="21"/>
        </w:rPr>
      </w:pPr>
      <w:r>
        <w:rPr>
          <w:rFonts w:ascii="宋体" w:hAnsi="宋体" w:hint="eastAsia"/>
          <w:szCs w:val="21"/>
          <w:lang w:val="en-US" w:eastAsia="zh-CN"/>
        </w:rPr>
        <w:t>4.</w:t>
      </w:r>
      <w:r>
        <w:rPr>
          <w:rFonts w:ascii="宋体" w:hAnsi="宋体" w:hint="eastAsia"/>
          <w:szCs w:val="21"/>
        </w:rPr>
        <w:t>数字视频须符合市市场监管局要求格式数据包，实现在网络上的统一传送、统一管理。</w:t>
      </w:r>
    </w:p>
    <w:p>
      <w:pPr>
        <w:spacing w:line="360" w:lineRule="auto"/>
        <w:ind w:firstLine="420" w:firstLineChars="200"/>
        <w:jc w:val="left"/>
        <w:rPr>
          <w:rFonts w:ascii="宋体" w:hAnsi="宋体" w:hint="default"/>
          <w:b/>
          <w:bCs/>
          <w:szCs w:val="21"/>
          <w:lang w:val="en-US" w:eastAsia="zh-CN"/>
        </w:rPr>
      </w:pPr>
      <w:r>
        <w:rPr>
          <w:rFonts w:ascii="宋体" w:hAnsi="宋体" w:hint="eastAsia"/>
          <w:b/>
          <w:bCs/>
          <w:szCs w:val="21"/>
          <w:lang w:val="en-US" w:eastAsia="zh-CN"/>
        </w:rPr>
        <w:t>（八）系统维护的要求</w:t>
      </w:r>
    </w:p>
    <w:p>
      <w:pPr>
        <w:spacing w:line="360" w:lineRule="auto"/>
        <w:ind w:firstLine="420" w:firstLineChars="200"/>
        <w:jc w:val="left"/>
        <w:rPr>
          <w:rFonts w:ascii="宋体" w:hAnsi="宋体" w:hint="eastAsia"/>
          <w:szCs w:val="21"/>
        </w:rPr>
      </w:pPr>
      <w:r>
        <w:rPr>
          <w:rFonts w:ascii="宋体" w:hAnsi="宋体" w:hint="eastAsia"/>
          <w:szCs w:val="21"/>
          <w:lang w:val="en-US" w:eastAsia="zh-CN"/>
        </w:rPr>
        <w:t>1、</w:t>
      </w:r>
      <w:r>
        <w:rPr>
          <w:rFonts w:ascii="宋体" w:hAnsi="宋体" w:hint="eastAsia"/>
          <w:szCs w:val="21"/>
        </w:rPr>
        <w:t>平台系统运行维护要求</w:t>
      </w:r>
    </w:p>
    <w:p>
      <w:pPr>
        <w:spacing w:line="360" w:lineRule="auto"/>
        <w:ind w:firstLine="420" w:firstLineChars="200"/>
        <w:jc w:val="left"/>
        <w:rPr>
          <w:rFonts w:ascii="宋体" w:hAnsi="宋体" w:hint="eastAsia"/>
          <w:szCs w:val="21"/>
        </w:rPr>
      </w:pPr>
      <w:r>
        <w:rPr>
          <w:rFonts w:ascii="宋体" w:hAnsi="宋体" w:hint="eastAsia"/>
          <w:szCs w:val="21"/>
        </w:rPr>
        <w:t>系统具有完善的网络安全保障措施，能够监测系统平台中设备和资源运行状态，对服务器的运行状态实时检测。能自动对前端视频设备进行巡检，能够对前端视频设备在线状态进行检测。</w:t>
      </w:r>
    </w:p>
    <w:p>
      <w:pPr>
        <w:spacing w:line="360" w:lineRule="auto"/>
        <w:ind w:firstLine="420" w:firstLineChars="200"/>
        <w:jc w:val="left"/>
        <w:rPr>
          <w:rFonts w:ascii="宋体" w:hAnsi="宋体" w:hint="eastAsia"/>
          <w:szCs w:val="21"/>
        </w:rPr>
      </w:pPr>
      <w:r>
        <w:rPr>
          <w:rFonts w:ascii="宋体" w:hAnsi="宋体" w:hint="eastAsia"/>
          <w:szCs w:val="21"/>
          <w:lang w:val="en-US" w:eastAsia="zh-CN"/>
        </w:rPr>
        <w:t>2、</w:t>
      </w:r>
      <w:r>
        <w:rPr>
          <w:rFonts w:ascii="宋体" w:hAnsi="宋体" w:hint="eastAsia"/>
          <w:szCs w:val="21"/>
        </w:rPr>
        <w:t>硬件系统和设备的故障处理和维护</w:t>
      </w:r>
    </w:p>
    <w:p>
      <w:pPr>
        <w:spacing w:line="360" w:lineRule="auto"/>
        <w:ind w:firstLine="420" w:firstLineChars="200"/>
        <w:jc w:val="left"/>
        <w:rPr>
          <w:rFonts w:ascii="宋体" w:hAnsi="宋体" w:hint="eastAsia"/>
          <w:szCs w:val="21"/>
        </w:rPr>
      </w:pPr>
      <w:r>
        <w:rPr>
          <w:rFonts w:ascii="宋体" w:hAnsi="宋体" w:hint="eastAsia"/>
          <w:szCs w:val="21"/>
        </w:rPr>
        <w:t>组织专业人员，负责前端餐企明厨亮灶等硬件系统的故障修复，硬件系统故障修复方法分为设备更换和部件更换。系统运维期间，按设备总量配备备品备件，备品备件的完好性进行定期监测，保证备件可用。</w:t>
      </w:r>
    </w:p>
    <w:p>
      <w:pPr>
        <w:spacing w:line="360" w:lineRule="auto"/>
        <w:ind w:firstLine="420" w:firstLineChars="200"/>
        <w:jc w:val="left"/>
        <w:rPr>
          <w:rFonts w:ascii="宋体" w:hAnsi="宋体" w:hint="eastAsia"/>
          <w:szCs w:val="21"/>
        </w:rPr>
      </w:pPr>
      <w:r>
        <w:rPr>
          <w:rFonts w:ascii="宋体" w:hAnsi="宋体" w:hint="eastAsia"/>
          <w:szCs w:val="21"/>
        </w:rPr>
        <w:t>平台对设备运行状况作自动巡检，定时统计平台设备完好率及上线情况。定期对系统设备进行维护保养，包括但不限于硬件设备的检查、保养和清洁。对摄像机进行人工保养和清洁的最长间隔时间不大于180天。展示屏定期维护，定期擦拭，间隔不大于180天。</w:t>
      </w:r>
    </w:p>
    <w:p>
      <w:pPr>
        <w:spacing w:line="360" w:lineRule="auto"/>
        <w:ind w:firstLine="420" w:firstLineChars="200"/>
        <w:jc w:val="left"/>
        <w:rPr>
          <w:rFonts w:ascii="宋体" w:hAnsi="宋体" w:hint="eastAsia"/>
          <w:b/>
          <w:bCs/>
          <w:szCs w:val="21"/>
          <w:lang w:val="en-US" w:eastAsia="zh-CN"/>
        </w:rPr>
      </w:pPr>
      <w:r>
        <w:rPr>
          <w:rFonts w:ascii="宋体" w:hAnsi="宋体" w:hint="eastAsia"/>
          <w:b/>
          <w:bCs/>
          <w:szCs w:val="21"/>
          <w:lang w:val="en-US" w:eastAsia="zh-CN"/>
        </w:rPr>
        <w:t>（九）其他要求</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1.</w:t>
      </w:r>
      <w:r>
        <w:rPr>
          <w:rFonts w:ascii="宋体" w:hAnsi="宋体" w:hint="eastAsia"/>
          <w:b/>
          <w:bCs/>
          <w:szCs w:val="21"/>
        </w:rPr>
        <w:t>前端取电要求</w:t>
      </w:r>
    </w:p>
    <w:p>
      <w:pPr>
        <w:spacing w:line="360" w:lineRule="auto"/>
        <w:ind w:firstLine="420" w:firstLineChars="200"/>
        <w:jc w:val="left"/>
        <w:rPr>
          <w:rFonts w:ascii="宋体" w:hAnsi="宋体" w:hint="eastAsia"/>
          <w:szCs w:val="21"/>
        </w:rPr>
      </w:pPr>
      <w:r>
        <w:rPr>
          <w:rFonts w:ascii="宋体" w:hAnsi="宋体" w:hint="eastAsia"/>
          <w:szCs w:val="21"/>
        </w:rPr>
        <w:t>前端取电部分采用集中供电或就近供电解决方案。用电费用由中标方承担。</w:t>
      </w:r>
    </w:p>
    <w:p>
      <w:pPr>
        <w:spacing w:line="360" w:lineRule="auto"/>
        <w:ind w:firstLine="420" w:firstLineChars="200"/>
        <w:jc w:val="left"/>
        <w:rPr>
          <w:rFonts w:ascii="宋体" w:hAnsi="宋体" w:hint="eastAsia"/>
          <w:b/>
          <w:bCs/>
          <w:szCs w:val="21"/>
        </w:rPr>
      </w:pPr>
      <w:r>
        <w:rPr>
          <w:rFonts w:ascii="宋体" w:hAnsi="宋体" w:hint="eastAsia"/>
          <w:b/>
          <w:bCs/>
          <w:szCs w:val="21"/>
          <w:lang w:val="en-US" w:eastAsia="zh-CN"/>
        </w:rPr>
        <w:t>2.</w:t>
      </w:r>
      <w:r>
        <w:rPr>
          <w:rFonts w:ascii="宋体" w:hAnsi="宋体" w:hint="eastAsia"/>
          <w:b/>
          <w:bCs/>
          <w:szCs w:val="21"/>
        </w:rPr>
        <w:t>防灾防护要求</w:t>
      </w:r>
    </w:p>
    <w:p>
      <w:pPr>
        <w:spacing w:line="360" w:lineRule="auto"/>
        <w:ind w:firstLine="420" w:firstLineChars="200"/>
        <w:jc w:val="left"/>
        <w:rPr>
          <w:rFonts w:ascii="宋体" w:hAnsi="宋体" w:hint="eastAsia"/>
          <w:szCs w:val="21"/>
        </w:rPr>
      </w:pPr>
      <w:r>
        <w:rPr>
          <w:rFonts w:ascii="宋体" w:hAnsi="宋体" w:hint="eastAsia"/>
          <w:szCs w:val="21"/>
        </w:rPr>
        <w:t>防灾能力指的是整个系统具备防水、防破坏等能力，其中防水和防破坏是最重要的指标。</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1</w:t>
      </w:r>
      <w:r>
        <w:rPr>
          <w:rFonts w:ascii="宋体" w:hAnsi="宋体" w:hint="eastAsia"/>
          <w:szCs w:val="21"/>
          <w:lang w:eastAsia="zh-CN"/>
        </w:rPr>
        <w:t>）</w:t>
      </w:r>
      <w:r>
        <w:rPr>
          <w:rFonts w:ascii="宋体" w:hAnsi="宋体" w:hint="eastAsia"/>
          <w:szCs w:val="21"/>
        </w:rPr>
        <w:t>防水措施。主要指摄像机的防水问题。</w:t>
      </w:r>
    </w:p>
    <w:p>
      <w:pPr>
        <w:spacing w:line="360" w:lineRule="auto"/>
        <w:ind w:firstLine="420" w:firstLineChars="200"/>
        <w:jc w:val="left"/>
        <w:rPr>
          <w:rFonts w:ascii="宋体" w:hAnsi="宋体" w:hint="eastAsia"/>
          <w:szCs w:val="21"/>
        </w:rPr>
      </w:pPr>
      <w:r>
        <w:rPr>
          <w:rFonts w:ascii="宋体" w:hAnsi="宋体" w:hint="eastAsia"/>
          <w:szCs w:val="21"/>
          <w:lang w:eastAsia="zh-CN"/>
        </w:rPr>
        <w:t>（</w:t>
      </w:r>
      <w:r>
        <w:rPr>
          <w:rFonts w:ascii="宋体" w:hAnsi="宋体" w:hint="eastAsia"/>
          <w:szCs w:val="21"/>
          <w:lang w:val="en-US" w:eastAsia="zh-CN"/>
        </w:rPr>
        <w:t>2</w:t>
      </w:r>
      <w:r>
        <w:rPr>
          <w:rFonts w:ascii="宋体" w:hAnsi="宋体" w:hint="eastAsia"/>
          <w:szCs w:val="21"/>
          <w:lang w:eastAsia="zh-CN"/>
        </w:rPr>
        <w:t>）</w:t>
      </w:r>
      <w:r>
        <w:rPr>
          <w:rFonts w:ascii="宋体" w:hAnsi="宋体" w:hint="eastAsia"/>
          <w:szCs w:val="21"/>
        </w:rPr>
        <w:t>防破坏措施。主要指前端监控点的信号和电源线路。要求如下：线缆的出入口必须有保护管，并做好紧固措施；箱体或线缆出入口必须有橡胶圈或杯梳等套紧，打上玻璃胶或沥青等防水、防腐措施。所有的线缆不得外露，而且必须套管，并在表面做好标识。</w:t>
      </w:r>
    </w:p>
    <w:p>
      <w:pPr>
        <w:rPr>
          <w:rFonts w:hint="eastAsia"/>
        </w:rPr>
      </w:pPr>
    </w:p>
    <w:p>
      <w:pPr>
        <w:keepNext/>
        <w:keepLines/>
        <w:adjustRightInd w:val="0"/>
        <w:spacing w:before="156" w:beforeLines="50" w:after="156" w:afterLines="50"/>
        <w:jc w:val="center"/>
        <w:textAlignment w:val="baseline"/>
        <w:outlineLvl w:val="1"/>
        <w:rPr>
          <w:rFonts w:ascii="宋体" w:hAnsi="宋体"/>
          <w:b/>
          <w:bCs/>
          <w:kern w:val="0"/>
          <w:sz w:val="28"/>
          <w:szCs w:val="28"/>
        </w:rPr>
      </w:pPr>
      <w:r>
        <w:rPr>
          <w:rFonts w:ascii="宋体" w:hAnsi="宋体" w:hint="eastAsia"/>
          <w:b/>
          <w:bCs/>
          <w:kern w:val="0"/>
          <w:sz w:val="28"/>
          <w:szCs w:val="28"/>
        </w:rPr>
        <w:t>五、项目商务要求</w:t>
      </w:r>
    </w:p>
    <w:p>
      <w:pPr>
        <w:spacing w:line="360" w:lineRule="auto"/>
        <w:ind w:firstLine="420" w:firstLineChars="200"/>
        <w:rPr>
          <w:rFonts w:asciiTheme="minorEastAsia" w:eastAsiaTheme="minorEastAsia" w:hAnsiTheme="minorEastAsia"/>
          <w:b/>
          <w:highlight w:val="none"/>
        </w:rPr>
      </w:pPr>
      <w:r>
        <w:rPr>
          <w:rFonts w:asciiTheme="minorEastAsia" w:eastAsiaTheme="minorEastAsia" w:hAnsiTheme="minorEastAsia" w:hint="eastAsia"/>
          <w:b/>
          <w:highlight w:val="none"/>
        </w:rPr>
        <w:t>（一）服务期限及付款方式：</w:t>
      </w:r>
    </w:p>
    <w:p>
      <w:pPr>
        <w:spacing w:line="360" w:lineRule="auto"/>
        <w:ind w:firstLine="420" w:firstLineChars="200"/>
        <w:jc w:val="left"/>
        <w:rPr>
          <w:rFonts w:ascii="宋体" w:eastAsia="宋体" w:hAnsi="宋体" w:cs="Times New Roman" w:hint="eastAsia"/>
          <w:b/>
          <w:bCs/>
          <w:szCs w:val="21"/>
          <w:highlight w:val="yellow"/>
        </w:rPr>
      </w:pPr>
      <w:r>
        <w:rPr>
          <w:rFonts w:ascii="宋体" w:eastAsia="宋体" w:hAnsi="宋体" w:cs="Times New Roman" w:hint="eastAsia"/>
          <w:b/>
          <w:bCs/>
          <w:szCs w:val="21"/>
          <w:highlight w:val="yellow"/>
          <w:lang w:val="en-US" w:eastAsia="zh-CN"/>
        </w:rPr>
        <w:t>★1.</w:t>
      </w:r>
      <w:r>
        <w:rPr>
          <w:rFonts w:ascii="宋体" w:eastAsia="宋体" w:hAnsi="宋体" w:cs="宋体" w:hint="eastAsia"/>
          <w:b/>
          <w:bCs/>
          <w:kern w:val="0"/>
          <w:szCs w:val="21"/>
          <w:highlight w:val="yellow"/>
          <w:u w:val="double"/>
        </w:rPr>
        <w:t>服务期限：本项目合同期自签订之日起至2025年12月31日止，中标单位必须于合同签订之日起提供500家持证餐饮单位及学校食堂的“互联网+明厨亮灶”视频数据运营（运维）服务；如有涉及设备更换、系统调试接入的，必须于2025年2月22日前确保至少225家坪山区学校食堂等重点餐饮服务单位正常运营（运维）服务，于2025年3月22日前确保500家餐企场所正常运营（运维）服务。</w:t>
      </w:r>
      <w:r>
        <w:rPr>
          <w:rFonts w:asciiTheme="minorEastAsia" w:eastAsiaTheme="minorEastAsia" w:hAnsiTheme="minorEastAsia" w:hint="eastAsia"/>
          <w:b/>
          <w:bCs w:val="0"/>
          <w:kern w:val="44"/>
          <w:szCs w:val="21"/>
          <w:highlight w:val="yellow"/>
          <w:u w:val="double"/>
        </w:rPr>
        <w:t>本项目为长期服务项目，合同履行期限最长不得超过三十六个月。服务期满后采购人可根据项目需求和中标人履约情况选择是否续签合同，最多续签两次，合同一年一签。</w:t>
      </w:r>
    </w:p>
    <w:p>
      <w:pPr>
        <w:spacing w:line="360" w:lineRule="auto"/>
        <w:ind w:firstLine="420" w:firstLineChars="200"/>
        <w:jc w:val="left"/>
        <w:rPr>
          <w:rFonts w:ascii="宋体" w:hAnsi="宋体" w:hint="eastAsia"/>
          <w:szCs w:val="21"/>
        </w:rPr>
      </w:pPr>
      <w:r>
        <w:rPr>
          <w:rFonts w:ascii="宋体" w:hAnsi="宋体" w:hint="eastAsia"/>
          <w:szCs w:val="21"/>
          <w:lang w:val="en-US" w:eastAsia="zh-CN"/>
        </w:rPr>
        <w:t>2.</w:t>
      </w:r>
      <w:r>
        <w:rPr>
          <w:rFonts w:ascii="宋体" w:hAnsi="宋体" w:hint="eastAsia"/>
          <w:szCs w:val="21"/>
        </w:rPr>
        <w:t>付款方式：</w:t>
      </w:r>
    </w:p>
    <w:p>
      <w:pPr>
        <w:spacing w:line="360" w:lineRule="auto"/>
        <w:ind w:firstLine="420" w:firstLineChars="200"/>
        <w:jc w:val="left"/>
        <w:rPr>
          <w:rFonts w:ascii="宋体" w:hAnsi="宋体" w:hint="eastAsia"/>
          <w:szCs w:val="21"/>
        </w:rPr>
      </w:pPr>
      <w:r>
        <w:rPr>
          <w:rFonts w:ascii="宋体" w:hAnsi="宋体" w:hint="eastAsia"/>
          <w:szCs w:val="21"/>
        </w:rPr>
        <w:t>在合同服务期内</w:t>
      </w:r>
      <w:r>
        <w:rPr>
          <w:rFonts w:ascii="宋体" w:hAnsi="宋体" w:hint="eastAsia"/>
          <w:szCs w:val="21"/>
          <w:lang w:eastAsia="zh-CN"/>
        </w:rPr>
        <w:t>，</w:t>
      </w:r>
      <w:r>
        <w:rPr>
          <w:rFonts w:ascii="宋体" w:hAnsi="宋体" w:hint="eastAsia"/>
          <w:szCs w:val="21"/>
        </w:rPr>
        <w:t>自供应商开具有效票据之日起</w:t>
      </w:r>
      <w:r>
        <w:rPr>
          <w:rFonts w:ascii="宋体" w:hAnsi="宋体" w:hint="eastAsia"/>
          <w:szCs w:val="21"/>
          <w:lang w:val="en-US" w:eastAsia="zh-CN"/>
        </w:rPr>
        <w:t>10个工作</w:t>
      </w:r>
      <w:r>
        <w:rPr>
          <w:rFonts w:ascii="宋体" w:hAnsi="宋体" w:hint="eastAsia"/>
          <w:szCs w:val="21"/>
        </w:rPr>
        <w:t>日内支付首付款，支付金额=服务合同总金额*50%；余款按进度验收通过后予以支付。付款时供应商要按程序向</w:t>
      </w:r>
      <w:r>
        <w:rPr>
          <w:rFonts w:ascii="宋体" w:hAnsi="宋体" w:hint="eastAsia"/>
          <w:szCs w:val="21"/>
          <w:lang w:val="en-US" w:eastAsia="zh-CN"/>
        </w:rPr>
        <w:t>采购人</w:t>
      </w:r>
      <w:r>
        <w:rPr>
          <w:rFonts w:ascii="宋体" w:hAnsi="宋体" w:hint="eastAsia"/>
          <w:szCs w:val="21"/>
        </w:rPr>
        <w:t>提出书面申请，并提供符合规定的发票后，由采购人拨付费用。如因深圳市坪山区财政局审批流程、经费未下达或其他特殊情况无法及时拨付的，</w:t>
      </w:r>
      <w:r>
        <w:rPr>
          <w:rFonts w:ascii="宋体" w:hAnsi="宋体" w:hint="eastAsia"/>
          <w:szCs w:val="21"/>
          <w:lang w:val="en-US" w:eastAsia="zh-CN"/>
        </w:rPr>
        <w:t>中标供应商</w:t>
      </w:r>
      <w:r>
        <w:rPr>
          <w:rFonts w:ascii="宋体" w:hAnsi="宋体" w:hint="eastAsia"/>
          <w:szCs w:val="21"/>
        </w:rPr>
        <w:t>不得以此为由提出赔偿要求。具体付款方式按深圳市坪山区财政局有关规定执行。</w:t>
      </w:r>
    </w:p>
    <w:p>
      <w:pPr>
        <w:spacing w:line="360" w:lineRule="auto"/>
        <w:ind w:firstLine="420" w:firstLineChars="200"/>
        <w:rPr>
          <w:rFonts w:asciiTheme="minorEastAsia" w:eastAsiaTheme="minorEastAsia" w:hAnsiTheme="minorEastAsia"/>
          <w:b/>
        </w:rPr>
      </w:pPr>
      <w:r>
        <w:rPr>
          <w:rFonts w:asciiTheme="minorEastAsia" w:eastAsiaTheme="minorEastAsia" w:hAnsiTheme="minorEastAsia" w:hint="eastAsia"/>
          <w:b/>
        </w:rPr>
        <w:t>（二）服务地点：</w:t>
      </w:r>
    </w:p>
    <w:p>
      <w:pPr>
        <w:spacing w:line="360" w:lineRule="auto"/>
        <w:ind w:firstLine="424" w:firstLineChars="202"/>
        <w:rPr>
          <w:rFonts w:asciiTheme="minorEastAsia" w:eastAsiaTheme="minorEastAsia" w:hAnsiTheme="minorEastAsia"/>
          <w:b/>
        </w:rPr>
      </w:pPr>
      <w:r>
        <w:rPr>
          <w:rFonts w:ascii="宋体" w:hAnsi="宋体" w:hint="eastAsia"/>
          <w:szCs w:val="21"/>
        </w:rPr>
        <w:t>深圳市</w:t>
      </w:r>
      <w:r>
        <w:rPr>
          <w:rFonts w:ascii="宋体" w:hAnsi="宋体" w:hint="eastAsia"/>
          <w:szCs w:val="21"/>
          <w:lang w:val="en-US" w:eastAsia="zh-CN"/>
        </w:rPr>
        <w:t>坪山区</w:t>
      </w:r>
      <w:r>
        <w:rPr>
          <w:rFonts w:ascii="宋体" w:hAnsi="宋体" w:hint="eastAsia"/>
          <w:szCs w:val="21"/>
        </w:rPr>
        <w:t>。</w:t>
      </w:r>
    </w:p>
    <w:p>
      <w:pPr>
        <w:spacing w:line="360" w:lineRule="auto"/>
        <w:ind w:firstLine="420" w:firstLineChars="200"/>
        <w:rPr>
          <w:rFonts w:asciiTheme="minorEastAsia" w:eastAsiaTheme="minorEastAsia" w:hAnsiTheme="minorEastAsia"/>
          <w:b/>
        </w:rPr>
      </w:pPr>
      <w:r>
        <w:rPr>
          <w:rFonts w:asciiTheme="minorEastAsia" w:eastAsiaTheme="minorEastAsia" w:hAnsiTheme="minorEastAsia" w:hint="eastAsia"/>
          <w:b/>
        </w:rPr>
        <w:t>（三）报价要求：</w:t>
      </w:r>
    </w:p>
    <w:p>
      <w:pPr>
        <w:spacing w:line="360" w:lineRule="auto"/>
        <w:ind w:firstLine="420" w:firstLineChars="200"/>
        <w:jc w:val="left"/>
        <w:rPr>
          <w:rFonts w:ascii="宋体" w:hAnsi="宋体" w:hint="eastAsia"/>
          <w:szCs w:val="21"/>
        </w:rPr>
      </w:pPr>
      <w:r>
        <w:rPr>
          <w:rFonts w:ascii="宋体" w:hAnsi="宋体" w:hint="eastAsia"/>
          <w:szCs w:val="21"/>
        </w:rPr>
        <w:t>1.本项目服务费采用包干制，应包括服务成本、法定税费和企业的利润。由企业根据招标文件所提供的资料自行测算投标报价；一经中标，投标报价总价作为中标单位与采购单位签定的合同金额，合同期限内不做调整；</w:t>
      </w:r>
    </w:p>
    <w:p>
      <w:pPr>
        <w:spacing w:line="360" w:lineRule="auto"/>
        <w:ind w:firstLine="420" w:firstLineChars="200"/>
        <w:jc w:val="left"/>
        <w:rPr>
          <w:rFonts w:ascii="宋体" w:hAnsi="宋体" w:hint="eastAsia"/>
          <w:szCs w:val="21"/>
        </w:rPr>
      </w:pPr>
      <w:r>
        <w:rPr>
          <w:rFonts w:ascii="宋体" w:hAnsi="宋体" w:hint="eastAsia"/>
          <w:szCs w:val="21"/>
        </w:rPr>
        <w:t>2.投标人应根据本企业的成本自行决定报价，报价明显低于其他通过资格及符合性审查的投标人的报价，供应商必须做出报价合理性说明（格式自定），证明低价不会影响产品及服务的质量或者导致不能诚信履约，必要时提交相关证明材料。</w:t>
      </w:r>
    </w:p>
    <w:p>
      <w:pPr>
        <w:numPr>
          <w:ilvl w:val="0"/>
          <w:numId w:val="1"/>
        </w:numPr>
        <w:spacing w:line="360" w:lineRule="auto"/>
        <w:ind w:firstLine="420" w:firstLineChars="200"/>
        <w:jc w:val="left"/>
        <w:rPr>
          <w:rFonts w:ascii="宋体" w:hAnsi="宋体" w:hint="eastAsia"/>
          <w:szCs w:val="21"/>
        </w:rPr>
      </w:pPr>
      <w:r>
        <w:rPr>
          <w:rFonts w:ascii="宋体" w:hAnsi="宋体" w:hint="eastAsia"/>
          <w:szCs w:val="21"/>
        </w:rPr>
        <w:t>供应商的报价说明是否合理，由评委会判定，如评委会认为该报价低于成本价则作投标无效处理。</w:t>
      </w:r>
    </w:p>
    <w:p>
      <w:pPr>
        <w:numPr>
          <w:ilvl w:val="0"/>
          <w:numId w:val="1"/>
        </w:numPr>
        <w:spacing w:line="360" w:lineRule="auto"/>
        <w:ind w:firstLine="420" w:firstLineChars="200"/>
        <w:jc w:val="left"/>
        <w:rPr>
          <w:rFonts w:ascii="宋体" w:hAnsi="宋体" w:hint="eastAsia"/>
          <w:szCs w:val="21"/>
        </w:rPr>
      </w:pPr>
      <w:r>
        <w:rPr>
          <w:rFonts w:ascii="宋体" w:hAnsi="宋体" w:hint="eastAsia"/>
          <w:szCs w:val="21"/>
        </w:rPr>
        <w:t>如该报价成为中标价格，该项目将成为重点监管、重点验收项目。</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3.投标人的投标报价不得超过财政预算限额；</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4.投标人的投标报价，应是本项目招标范围和招标文件及合同条款上所列的各项内容中所述的全部，不得以任何理由予以重复，并以投标人在投标文件中提出的综合单价或总价为依据；</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5.除非</w:t>
      </w:r>
      <w:r>
        <w:rPr>
          <w:rFonts w:ascii="宋体" w:eastAsia="宋体" w:hAnsi="宋体" w:cs="Times New Roman" w:hint="eastAsia"/>
          <w:szCs w:val="21"/>
          <w:lang w:val="en-US" w:eastAsia="zh-CN"/>
        </w:rPr>
        <w:t>采购代理机</w:t>
      </w:r>
      <w:r>
        <w:rPr>
          <w:rFonts w:ascii="宋体" w:eastAsia="宋体" w:hAnsi="宋体" w:cs="Times New Roman" w:hint="eastAsia"/>
          <w:szCs w:val="21"/>
        </w:rPr>
        <w:t>构通过修改招标文件予以更正，否则，投标人应毫无例外地按招标文件所列的清单中项目和数量填报综合单价和合价。投标人未填综合单价或合价的项目，在实施后，视作该项费用已包括在其它有价款的综合单价或合价内，不得申请额外支付；</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6.投标人应先到项目地点踏勘以充分了解项目的位置、情况、道路及任何其它足以影响投标报价的情况，任何因忽视或误解项目情况而导致的索赔或服务期限延长申请将不获批准；</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7.投标人不得期望通过索赔等方式获取补偿，否则，除可能遭到拒绝外，还可能将被作为不良行为记录在案，并可能影响其以后参加政府采购的项目投标。各投标人在投标报价时，应充分考虑投标报价的风险。</w:t>
      </w:r>
    </w:p>
    <w:p>
      <w:pPr>
        <w:spacing w:line="360" w:lineRule="auto"/>
        <w:ind w:firstLine="420" w:firstLineChars="200"/>
        <w:jc w:val="left"/>
        <w:rPr>
          <w:rFonts w:ascii="宋体" w:eastAsia="宋体" w:hAnsi="宋体" w:cs="Times New Roman" w:hint="eastAsia"/>
          <w:b/>
          <w:bCs/>
          <w:szCs w:val="21"/>
        </w:rPr>
      </w:pPr>
      <w:r>
        <w:rPr>
          <w:rFonts w:ascii="宋体" w:eastAsia="宋体" w:hAnsi="宋体" w:cs="Times New Roman" w:hint="eastAsia"/>
          <w:b/>
          <w:bCs/>
          <w:szCs w:val="21"/>
        </w:rPr>
        <w:t>（</w:t>
      </w:r>
      <w:r>
        <w:rPr>
          <w:rFonts w:ascii="宋体" w:eastAsia="宋体" w:hAnsi="宋体" w:cs="Times New Roman" w:hint="eastAsia"/>
          <w:b/>
          <w:bCs/>
          <w:szCs w:val="21"/>
          <w:lang w:val="en-US" w:eastAsia="zh-CN"/>
        </w:rPr>
        <w:t>四</w:t>
      </w:r>
      <w:r>
        <w:rPr>
          <w:rFonts w:ascii="宋体" w:eastAsia="宋体" w:hAnsi="宋体" w:cs="Times New Roman" w:hint="eastAsia"/>
          <w:b/>
          <w:bCs/>
          <w:szCs w:val="21"/>
        </w:rPr>
        <w:t>）验收要求：</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1.验收内容</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（1）提供阶段性总结报告和全年总结报告；</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（2）提供反映工作量的系统查询数据、原始记录和工作台账；</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（3）提供符合采购要求的人员、设备详细清单和相关的资格证书等材料。</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2.验收标准</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（1）满足工作任务书中定义的各项要求；</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（2）达成了项目质量目标要求，或未达成目标时提交的例外报告得到批准；</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（3）按约定的验收标准对交付件进行测试检查，并通过验收；</w:t>
      </w:r>
    </w:p>
    <w:p>
      <w:pPr>
        <w:spacing w:line="360" w:lineRule="auto"/>
        <w:ind w:firstLine="420" w:firstLineChars="200"/>
        <w:jc w:val="left"/>
        <w:rPr>
          <w:rFonts w:ascii="宋体" w:eastAsia="宋体" w:hAnsi="宋体" w:cs="Times New Roman" w:hint="eastAsia"/>
          <w:szCs w:val="21"/>
        </w:rPr>
      </w:pPr>
      <w:r>
        <w:rPr>
          <w:rFonts w:ascii="宋体" w:eastAsia="宋体" w:hAnsi="宋体" w:cs="Times New Roman" w:hint="eastAsia"/>
          <w:szCs w:val="21"/>
        </w:rPr>
        <w:t>（4）采购文件中的工作要求与上级主管部门新发布的文件不一致的，以后者为准。</w:t>
      </w:r>
    </w:p>
    <w:p>
      <w:pPr>
        <w:spacing w:line="360" w:lineRule="auto"/>
        <w:ind w:firstLine="420" w:firstLineChars="200"/>
        <w:jc w:val="left"/>
        <w:rPr>
          <w:rFonts w:ascii="宋体" w:eastAsia="宋体" w:hAnsi="宋体" w:cs="Times New Roman" w:hint="eastAsia"/>
          <w:b/>
          <w:bCs/>
          <w:szCs w:val="21"/>
          <w:lang w:val="en-US" w:eastAsia="zh-CN"/>
        </w:rPr>
      </w:pPr>
      <w:r>
        <w:rPr>
          <w:rFonts w:ascii="宋体" w:eastAsia="宋体" w:hAnsi="宋体" w:cs="Times New Roman" w:hint="eastAsia"/>
          <w:b/>
          <w:bCs/>
          <w:szCs w:val="21"/>
        </w:rPr>
        <w:t>（</w:t>
      </w:r>
      <w:r>
        <w:rPr>
          <w:rFonts w:ascii="宋体" w:eastAsia="宋体" w:hAnsi="宋体" w:cs="Times New Roman" w:hint="eastAsia"/>
          <w:b/>
          <w:bCs/>
          <w:szCs w:val="21"/>
          <w:lang w:val="en-US" w:eastAsia="zh-CN"/>
        </w:rPr>
        <w:t>五</w:t>
      </w:r>
      <w:r>
        <w:rPr>
          <w:rFonts w:ascii="宋体" w:eastAsia="宋体" w:hAnsi="宋体" w:cs="Times New Roman" w:hint="eastAsia"/>
          <w:b/>
          <w:bCs/>
          <w:szCs w:val="21"/>
        </w:rPr>
        <w:t>）</w:t>
      </w:r>
      <w:r>
        <w:rPr>
          <w:rFonts w:ascii="宋体" w:eastAsia="宋体" w:hAnsi="宋体" w:cs="Times New Roman" w:hint="eastAsia"/>
          <w:b/>
          <w:bCs/>
          <w:szCs w:val="21"/>
          <w:lang w:val="en-US" w:eastAsia="zh-CN"/>
        </w:rPr>
        <w:t>知识产权和保密要求</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eastAsia"/>
          <w:szCs w:val="21"/>
          <w:lang w:val="en-US" w:eastAsia="zh-CN"/>
        </w:rPr>
        <w:t>1.投标人在项目实施过程中不得侵犯第三人知识产权以及其他权益。如有侵权，由投标人承担所有侵权责任。需要使用第三人知识产权的，投标人应取得权利人许可或者授权并由投标人承担费用。</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eastAsia"/>
          <w:szCs w:val="21"/>
          <w:lang w:val="en-US" w:eastAsia="zh-CN"/>
        </w:rPr>
        <w:t>2.投标人对知悉采购人的财务、技术、专项数据、合同价款、未披露的政策、诉讼方案以及为实施项目提供给投标人的文件或信息的内容(简称“保密资料”)等负有保密义务。未经信息披露方书面事先同意，不得向本合同以外的任何第三方披露。资料接受方可仅为本合同目的向其确有知悉必要的雇员披露对方提供的保密资料，但同时须指示其雇员遵守本条规定的保密及不披露义务。应仅为本项目目的而复制和使用保密资料。</w:t>
      </w:r>
    </w:p>
    <w:p>
      <w:pPr>
        <w:spacing w:line="360" w:lineRule="auto"/>
        <w:ind w:firstLine="420" w:firstLineChars="200"/>
        <w:jc w:val="left"/>
        <w:rPr>
          <w:rFonts w:ascii="宋体" w:eastAsia="宋体" w:hAnsi="宋体" w:cs="Times New Roman" w:hint="eastAsia"/>
          <w:b/>
          <w:bCs/>
          <w:szCs w:val="21"/>
        </w:rPr>
      </w:pPr>
      <w:r>
        <w:rPr>
          <w:rFonts w:ascii="宋体" w:eastAsia="宋体" w:hAnsi="宋体" w:cs="Times New Roman" w:hint="eastAsia"/>
          <w:b/>
          <w:bCs/>
          <w:szCs w:val="21"/>
          <w:lang w:eastAsia="zh-CN"/>
        </w:rPr>
        <w:t>（</w:t>
      </w:r>
      <w:r>
        <w:rPr>
          <w:rFonts w:ascii="宋体" w:eastAsia="宋体" w:hAnsi="宋体" w:cs="Times New Roman" w:hint="eastAsia"/>
          <w:b/>
          <w:bCs/>
          <w:szCs w:val="21"/>
          <w:lang w:val="en-US" w:eastAsia="zh-CN"/>
        </w:rPr>
        <w:t>六</w:t>
      </w:r>
      <w:r>
        <w:rPr>
          <w:rFonts w:ascii="宋体" w:eastAsia="宋体" w:hAnsi="宋体" w:cs="Times New Roman" w:hint="eastAsia"/>
          <w:b/>
          <w:bCs/>
          <w:szCs w:val="21"/>
          <w:lang w:eastAsia="zh-CN"/>
        </w:rPr>
        <w:t>）</w:t>
      </w:r>
      <w:r>
        <w:rPr>
          <w:rFonts w:ascii="宋体" w:eastAsia="宋体" w:hAnsi="宋体" w:cs="Times New Roman" w:hint="eastAsia"/>
          <w:b/>
          <w:bCs/>
          <w:szCs w:val="21"/>
        </w:rPr>
        <w:t>违约责任</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default"/>
          <w:szCs w:val="21"/>
          <w:lang w:val="en-US" w:eastAsia="zh-CN"/>
        </w:rPr>
        <w:t>1.</w:t>
      </w:r>
      <w:r>
        <w:rPr>
          <w:rFonts w:ascii="宋体" w:eastAsia="宋体" w:hAnsi="宋体" w:cs="Times New Roman" w:hint="eastAsia"/>
          <w:szCs w:val="21"/>
          <w:lang w:val="en-US" w:eastAsia="zh-CN"/>
        </w:rPr>
        <w:t>中标供应商未在约定期限内完成项目内容并提交成果的，每延迟一日按照合同总金额千分之一的标准向采购人支付违约金。延迟超过十日的，采购人有权解除合同并要求中标供应商返还已经支付的款项，未支付的不再支付。</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default"/>
          <w:szCs w:val="21"/>
          <w:lang w:val="en-US" w:eastAsia="zh-CN"/>
        </w:rPr>
        <w:t>2.</w:t>
      </w:r>
      <w:r>
        <w:rPr>
          <w:rFonts w:ascii="宋体" w:eastAsia="宋体" w:hAnsi="宋体" w:cs="Times New Roman" w:hint="eastAsia"/>
          <w:szCs w:val="21"/>
          <w:lang w:val="en-US" w:eastAsia="zh-CN"/>
        </w:rPr>
        <w:t>中标供应商未按服务内容及要求提供服务，经采购人要求整改，中标供应商未予整改或者整改后仍不能满足服务内容和要求的，采购人有权单方解除合同，采购人除不再支付未履行部分的款项外，还有权要求中标供应商支付已履行部分款项20%的违约金。</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default"/>
          <w:szCs w:val="21"/>
          <w:lang w:val="en-US" w:eastAsia="zh-CN"/>
        </w:rPr>
        <w:t>3.</w:t>
      </w:r>
      <w:r>
        <w:rPr>
          <w:rFonts w:ascii="宋体" w:eastAsia="宋体" w:hAnsi="宋体" w:cs="Times New Roman" w:hint="eastAsia"/>
          <w:szCs w:val="21"/>
          <w:lang w:val="en-US" w:eastAsia="zh-CN"/>
        </w:rPr>
        <w:t>中标供应商交付的成果验收不合格的，经采购人要求整改再次验收仍不合格的或中标供应商提交的成果存在虚假、违法违规、重大错误的，采购人有权立即解除合同、要求中标供应商返还已经支付的款项并支付合同总额20%的违约金。</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default"/>
          <w:szCs w:val="21"/>
          <w:lang w:val="en-US" w:eastAsia="zh-CN"/>
        </w:rPr>
        <w:t>4.</w:t>
      </w:r>
      <w:r>
        <w:rPr>
          <w:rFonts w:ascii="宋体" w:eastAsia="宋体" w:hAnsi="宋体" w:cs="Times New Roman" w:hint="eastAsia"/>
          <w:szCs w:val="21"/>
          <w:lang w:val="en-US" w:eastAsia="zh-CN"/>
        </w:rPr>
        <w:t>因中标供应商实施本项目过程中侵犯第三人合法权益或者违约导致采购人承担赔偿责任的，采购人有权向中标供应商追偿并有权解除合同、要求中标供应商返还已经支付的款项并支付合同总额20%的违约金。因中标供应商人员故意或过失给采购人或第三方造成损失的，中标供应商应当承担赔偿责任，采购人先行承担赔偿责任，有权向中标供应商追偿。</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default"/>
          <w:szCs w:val="21"/>
          <w:lang w:val="en-US" w:eastAsia="zh-CN"/>
        </w:rPr>
        <w:t>5.</w:t>
      </w:r>
      <w:r>
        <w:rPr>
          <w:rFonts w:ascii="宋体" w:eastAsia="宋体" w:hAnsi="宋体" w:cs="Times New Roman" w:hint="eastAsia"/>
          <w:szCs w:val="21"/>
          <w:lang w:val="en-US" w:eastAsia="zh-CN"/>
        </w:rPr>
        <w:t>中标供应商签订合同后，实际配备的工作人员与投标文件的承诺不一致的，或实施本项目时已不符合招标文件要求的，采购人有权解除合同，并要求中标供应商返向采购人支付合同总额 20 %的违约金。</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default"/>
          <w:szCs w:val="21"/>
          <w:lang w:val="en-US" w:eastAsia="zh-CN"/>
        </w:rPr>
        <w:t>6.</w:t>
      </w:r>
      <w:r>
        <w:rPr>
          <w:rFonts w:ascii="宋体" w:eastAsia="宋体" w:hAnsi="宋体" w:cs="Times New Roman" w:hint="eastAsia"/>
          <w:szCs w:val="21"/>
          <w:lang w:val="en-US" w:eastAsia="zh-CN"/>
        </w:rPr>
        <w:t>中标供应商无正当理由解除合同的，应向采购人支付合同总额20%的违约金。</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default"/>
          <w:szCs w:val="21"/>
          <w:lang w:val="en-US" w:eastAsia="zh-CN"/>
        </w:rPr>
        <w:t>7.</w:t>
      </w:r>
      <w:r>
        <w:rPr>
          <w:rFonts w:ascii="宋体" w:eastAsia="宋体" w:hAnsi="宋体" w:cs="Times New Roman" w:hint="eastAsia"/>
          <w:szCs w:val="21"/>
          <w:lang w:val="en-US" w:eastAsia="zh-CN"/>
        </w:rPr>
        <w:t>中标供应商违反本需求知识产权、保密义务相关内容的，应向采购人支付合同总额 20%的违约金。</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default"/>
          <w:szCs w:val="21"/>
          <w:lang w:val="en-US" w:eastAsia="zh-CN"/>
        </w:rPr>
        <w:t>8.</w:t>
      </w:r>
      <w:r>
        <w:rPr>
          <w:rFonts w:ascii="宋体" w:eastAsia="宋体" w:hAnsi="宋体" w:cs="Times New Roman" w:hint="eastAsia"/>
          <w:szCs w:val="21"/>
          <w:lang w:val="en-US" w:eastAsia="zh-CN"/>
        </w:rPr>
        <w:t>未经采购人同意，中标供应商将本合同项目的任务全部或者一部分转委托给第三人，采购人有权解除合同、要求中标供应商返还已经支付的款项并支付合同总额 20%的违约金。</w:t>
      </w:r>
    </w:p>
    <w:p>
      <w:pPr>
        <w:spacing w:line="360" w:lineRule="auto"/>
        <w:ind w:firstLine="420" w:firstLineChars="200"/>
        <w:jc w:val="left"/>
        <w:rPr>
          <w:rFonts w:ascii="宋体" w:eastAsia="宋体" w:hAnsi="宋体" w:cs="Times New Roman" w:hint="default"/>
          <w:szCs w:val="21"/>
          <w:lang w:val="en-US" w:eastAsia="zh-CN"/>
        </w:rPr>
      </w:pPr>
      <w:r>
        <w:rPr>
          <w:rFonts w:ascii="宋体" w:eastAsia="宋体" w:hAnsi="宋体" w:cs="Times New Roman" w:hint="default"/>
          <w:szCs w:val="21"/>
          <w:lang w:val="en-US" w:eastAsia="zh-CN"/>
        </w:rPr>
        <w:t>9.</w:t>
      </w:r>
      <w:r>
        <w:rPr>
          <w:rFonts w:ascii="宋体" w:eastAsia="宋体" w:hAnsi="宋体" w:cs="Times New Roman" w:hint="eastAsia"/>
          <w:szCs w:val="21"/>
          <w:lang w:val="en-US" w:eastAsia="zh-CN"/>
        </w:rPr>
        <w:t>如中标供应商存在任何违约或侵权行为，除按照本合同承担相应违约责任外，给采购人造成损失的，还应承担全部赔偿责任。</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default"/>
          <w:szCs w:val="21"/>
          <w:lang w:val="en-US" w:eastAsia="zh-CN"/>
        </w:rPr>
        <w:t>10.</w:t>
      </w:r>
      <w:r>
        <w:rPr>
          <w:rFonts w:ascii="宋体" w:eastAsia="宋体" w:hAnsi="宋体" w:cs="Times New Roman" w:hint="eastAsia"/>
          <w:szCs w:val="21"/>
          <w:lang w:val="en-US" w:eastAsia="zh-CN"/>
        </w:rPr>
        <w:t>采购人违约的，应按照《民法典》有关规定承担违约责任。</w:t>
      </w:r>
    </w:p>
    <w:p>
      <w:pPr>
        <w:spacing w:line="360" w:lineRule="auto"/>
        <w:ind w:firstLine="420" w:firstLineChars="200"/>
        <w:jc w:val="left"/>
        <w:rPr>
          <w:rFonts w:ascii="宋体" w:eastAsia="宋体" w:hAnsi="宋体" w:cs="Times New Roman" w:hint="eastAsia"/>
          <w:b/>
          <w:bCs/>
          <w:szCs w:val="21"/>
          <w:lang w:val="en-US" w:eastAsia="zh-CN"/>
        </w:rPr>
      </w:pPr>
      <w:r>
        <w:rPr>
          <w:rFonts w:ascii="宋体" w:eastAsia="宋体" w:hAnsi="宋体" w:cs="Times New Roman" w:hint="eastAsia"/>
          <w:b/>
          <w:bCs/>
          <w:szCs w:val="21"/>
          <w:lang w:val="en-US" w:eastAsia="zh-CN"/>
        </w:rPr>
        <w:t>（七）法律适用和争议解决</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eastAsia"/>
          <w:szCs w:val="21"/>
          <w:lang w:val="en-US" w:eastAsia="zh-CN"/>
        </w:rPr>
        <w:t>1.本合同适用中华人民共和国法律。</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eastAsia"/>
          <w:szCs w:val="21"/>
          <w:lang w:val="en-US" w:eastAsia="zh-CN"/>
        </w:rPr>
        <w:t>2.双方因履行本合同发生争议的，可协商解决，无法协商解决的：应向甲方住所地有管辖权的人民法院提起诉讼。</w:t>
      </w:r>
    </w:p>
    <w:p>
      <w:pPr>
        <w:spacing w:line="360" w:lineRule="auto"/>
        <w:ind w:firstLine="420" w:firstLineChars="200"/>
        <w:jc w:val="left"/>
        <w:rPr>
          <w:rFonts w:ascii="宋体" w:eastAsia="宋体" w:hAnsi="宋体" w:cs="Times New Roman" w:hint="eastAsia"/>
          <w:szCs w:val="21"/>
          <w:lang w:val="en-US" w:eastAsia="zh-CN"/>
        </w:rPr>
      </w:pPr>
      <w:r>
        <w:rPr>
          <w:rFonts w:ascii="宋体" w:eastAsia="宋体" w:hAnsi="宋体" w:cs="Times New Roman" w:hint="eastAsia"/>
          <w:szCs w:val="21"/>
          <w:lang w:val="en-US" w:eastAsia="zh-CN"/>
        </w:rPr>
        <w:t>3.诉讼进行过程中，双方将继续履行本合同未涉诉讼的其它部分。</w:t>
      </w:r>
    </w:p>
    <w:p>
      <w:pPr>
        <w:spacing w:line="360" w:lineRule="auto"/>
        <w:ind w:firstLine="420" w:firstLineChars="200"/>
        <w:jc w:val="left"/>
        <w:rPr>
          <w:rFonts w:ascii="宋体" w:eastAsia="宋体" w:hAnsi="宋体" w:cs="Times New Roman" w:hint="eastAsia"/>
          <w:b/>
          <w:bCs/>
          <w:szCs w:val="21"/>
        </w:rPr>
      </w:pPr>
      <w:r>
        <w:rPr>
          <w:rFonts w:ascii="宋体" w:eastAsia="宋体" w:hAnsi="宋体" w:cs="Times New Roman" w:hint="eastAsia"/>
          <w:b/>
          <w:bCs/>
          <w:szCs w:val="21"/>
          <w:lang w:eastAsia="zh-CN"/>
        </w:rPr>
        <w:t>（</w:t>
      </w:r>
      <w:r>
        <w:rPr>
          <w:rFonts w:ascii="宋体" w:eastAsia="宋体" w:hAnsi="宋体" w:cs="Times New Roman" w:hint="eastAsia"/>
          <w:b/>
          <w:bCs/>
          <w:szCs w:val="21"/>
          <w:lang w:val="en-US" w:eastAsia="zh-CN"/>
        </w:rPr>
        <w:t>八</w:t>
      </w:r>
      <w:r>
        <w:rPr>
          <w:rFonts w:ascii="宋体" w:eastAsia="宋体" w:hAnsi="宋体" w:cs="Times New Roman" w:hint="eastAsia"/>
          <w:b/>
          <w:bCs/>
          <w:szCs w:val="21"/>
          <w:lang w:eastAsia="zh-CN"/>
        </w:rPr>
        <w:t>）</w:t>
      </w:r>
      <w:r>
        <w:rPr>
          <w:rFonts w:ascii="宋体" w:eastAsia="宋体" w:hAnsi="宋体" w:cs="Times New Roman" w:hint="eastAsia"/>
          <w:b/>
          <w:bCs/>
          <w:szCs w:val="21"/>
        </w:rPr>
        <w:t>注意事项</w:t>
      </w:r>
    </w:p>
    <w:p>
      <w:pPr>
        <w:spacing w:line="360" w:lineRule="auto"/>
        <w:ind w:firstLine="420" w:firstLineChars="200"/>
        <w:jc w:val="left"/>
        <w:rPr>
          <w:rFonts w:ascii="宋体" w:hAnsi="宋体" w:hint="eastAsia"/>
          <w:szCs w:val="21"/>
        </w:rPr>
      </w:pPr>
      <w:r>
        <w:rPr>
          <w:rFonts w:ascii="宋体" w:hAnsi="宋体" w:hint="eastAsia"/>
          <w:szCs w:val="21"/>
        </w:rPr>
        <w:t>1、中标人不得将项目非法分包或转包给任何单位和个人。否则，采购单位有权即刻终止合同，并要求中标人赔偿相应损失。</w:t>
      </w:r>
    </w:p>
    <w:p>
      <w:pPr>
        <w:spacing w:line="360" w:lineRule="auto"/>
        <w:ind w:firstLine="420" w:firstLineChars="200"/>
        <w:jc w:val="left"/>
        <w:rPr>
          <w:rFonts w:ascii="宋体" w:hAnsi="宋体" w:hint="eastAsia"/>
          <w:szCs w:val="21"/>
        </w:rPr>
      </w:pPr>
      <w:r>
        <w:rPr>
          <w:rFonts w:ascii="宋体" w:hAnsi="宋体" w:hint="eastAsia"/>
          <w:szCs w:val="21"/>
        </w:rPr>
        <w:t>2、投标人使用的标准必须是国际公认或国家、或地方政府颁布的同等或更高的标准，如投标人使用的标准低于上述标准,评标委员会将有权不予接受，投标人必须列表将明显的差异详细说明。</w:t>
      </w:r>
    </w:p>
    <w:p>
      <w:pPr>
        <w:spacing w:line="360" w:lineRule="auto"/>
        <w:ind w:firstLine="420" w:firstLineChars="200"/>
        <w:jc w:val="left"/>
        <w:rPr>
          <w:rFonts w:ascii="宋体" w:hAnsi="宋体" w:hint="eastAsia"/>
          <w:szCs w:val="21"/>
        </w:rPr>
      </w:pPr>
      <w:r>
        <w:rPr>
          <w:rFonts w:ascii="宋体" w:hAnsi="宋体" w:hint="eastAsia"/>
          <w:szCs w:val="21"/>
        </w:rPr>
        <w:t>3、供应商须在法定质疑期内一次性提出针对同一采购程序环节的质疑。</w:t>
      </w:r>
    </w:p>
    <w:p>
      <w:pPr>
        <w:spacing w:line="360" w:lineRule="auto"/>
        <w:ind w:firstLine="420" w:firstLineChars="200"/>
        <w:jc w:val="left"/>
        <w:rPr>
          <w:rFonts w:ascii="宋体" w:hAnsi="宋体" w:cs="楷体" w:hint="eastAsia"/>
          <w:bCs/>
          <w:szCs w:val="24"/>
        </w:rPr>
      </w:pPr>
      <w:r>
        <w:rPr>
          <w:rFonts w:ascii="宋体" w:hAnsi="宋体" w:hint="eastAsia"/>
          <w:szCs w:val="21"/>
        </w:rPr>
        <w:t>4、本项目按照政府采购相关法律法规和政策文件规定执行。</w:t>
      </w:r>
    </w:p>
    <w:p>
      <w:pPr>
        <w:spacing w:line="360" w:lineRule="auto"/>
        <w:rPr>
          <w:rFonts w:ascii="宋体" w:hAnsi="宋体" w:cs="楷体"/>
          <w:bCs/>
          <w:szCs w:val="24"/>
        </w:rPr>
      </w:pPr>
    </w:p>
    <w:p>
      <w:pPr>
        <w:pStyle w:val="Heading2"/>
        <w:spacing w:before="156" w:beforeLines="50" w:after="156" w:afterLines="50"/>
        <w:rPr>
          <w:b/>
          <w:bCs/>
          <w:sz w:val="28"/>
          <w:szCs w:val="28"/>
        </w:rPr>
      </w:pPr>
      <w:r>
        <w:rPr>
          <w:rFonts w:hint="eastAsia"/>
          <w:b/>
          <w:bCs/>
          <w:sz w:val="28"/>
          <w:szCs w:val="28"/>
        </w:rPr>
        <w:t>六、演示要求</w:t>
      </w:r>
    </w:p>
    <w:p>
      <w:pPr>
        <w:spacing w:before="78" w:beforeLines="25" w:after="78" w:afterLines="25" w:line="360" w:lineRule="auto"/>
        <w:ind w:firstLine="393" w:firstLineChars="187"/>
        <w:rPr>
          <w:rFonts w:ascii="宋体" w:hAnsi="宋体" w:cs="宋体"/>
          <w:szCs w:val="21"/>
        </w:rPr>
      </w:pPr>
      <w:r>
        <w:rPr>
          <w:rFonts w:ascii="宋体" w:hAnsi="宋体" w:cs="宋体" w:hint="eastAsia"/>
          <w:szCs w:val="21"/>
        </w:rPr>
        <w:t>（一）总体要求：</w:t>
      </w:r>
    </w:p>
    <w:p>
      <w:pPr>
        <w:spacing w:before="78" w:beforeLines="25" w:after="78" w:afterLines="25" w:line="360" w:lineRule="auto"/>
        <w:ind w:firstLine="393" w:firstLineChars="187"/>
        <w:rPr>
          <w:rFonts w:ascii="宋体" w:hAnsi="宋体" w:cs="宋体"/>
          <w:szCs w:val="21"/>
        </w:rPr>
      </w:pPr>
      <w:r>
        <w:rPr>
          <w:rFonts w:ascii="宋体" w:hAnsi="宋体" w:cs="宋体" w:hint="eastAsia"/>
          <w:szCs w:val="21"/>
        </w:rPr>
        <w:t>演示地点提供电源、投影仪及宽带上网环境（有WIFI），由投标人代表自带手提电脑、无线路由器、便携式服务器、U盘及其它能完成演示操作的设备（具体以投标人实际需要为准）进行演示。由于演示场地有限，建议勿携带过大设备进行演示。</w:t>
      </w:r>
    </w:p>
    <w:p>
      <w:pPr>
        <w:spacing w:before="78" w:beforeLines="25" w:after="78" w:afterLines="25" w:line="360" w:lineRule="auto"/>
        <w:ind w:firstLine="393" w:firstLineChars="187"/>
        <w:rPr>
          <w:rFonts w:ascii="宋体" w:hAnsi="宋体" w:cs="宋体"/>
          <w:szCs w:val="21"/>
        </w:rPr>
      </w:pPr>
      <w:r>
        <w:rPr>
          <w:rFonts w:ascii="宋体" w:hAnsi="宋体" w:cs="宋体" w:hint="eastAsia"/>
          <w:szCs w:val="21"/>
        </w:rPr>
        <w:t>每个投标人的现场演示时间不超过</w:t>
      </w:r>
      <w:r>
        <w:rPr>
          <w:rFonts w:ascii="宋体" w:hAnsi="宋体" w:cs="宋体" w:hint="eastAsia"/>
          <w:szCs w:val="21"/>
          <w:lang w:val="en-US" w:eastAsia="zh-CN"/>
        </w:rPr>
        <w:t>15</w:t>
      </w:r>
      <w:r>
        <w:rPr>
          <w:rFonts w:ascii="宋体" w:hAnsi="宋体" w:cs="宋体" w:hint="eastAsia"/>
          <w:szCs w:val="21"/>
        </w:rPr>
        <w:t>分钟（演示期间评委将进行提问，并有权酌情延长时间），现场演示人员不得超过2人。</w:t>
      </w:r>
    </w:p>
    <w:p>
      <w:pPr>
        <w:spacing w:before="78" w:beforeLines="25" w:after="78" w:afterLines="25" w:line="360" w:lineRule="auto"/>
        <w:ind w:firstLine="393" w:firstLineChars="187"/>
        <w:rPr>
          <w:rFonts w:ascii="宋体" w:hAnsi="宋体" w:cs="宋体"/>
          <w:szCs w:val="21"/>
        </w:rPr>
      </w:pPr>
      <w:r>
        <w:rPr>
          <w:rFonts w:ascii="宋体" w:hAnsi="宋体" w:cs="宋体" w:hint="eastAsia"/>
          <w:szCs w:val="21"/>
        </w:rPr>
        <w:t>（二）签到要求：</w:t>
      </w:r>
    </w:p>
    <w:p>
      <w:pPr>
        <w:spacing w:before="78" w:beforeLines="25" w:after="78" w:afterLines="25" w:line="360" w:lineRule="auto"/>
        <w:ind w:firstLine="393" w:firstLineChars="187"/>
        <w:rPr>
          <w:rFonts w:ascii="宋体" w:hAnsi="宋体" w:cs="宋体"/>
          <w:szCs w:val="21"/>
        </w:rPr>
      </w:pPr>
      <w:r>
        <w:rPr>
          <w:rFonts w:ascii="宋体" w:hAnsi="宋体" w:cs="宋体" w:hint="eastAsia"/>
          <w:szCs w:val="21"/>
        </w:rPr>
        <w:t>参加现场演示的投标人须在</w:t>
      </w:r>
      <w:r>
        <w:rPr>
          <w:rFonts w:ascii="宋体" w:hAnsi="宋体" w:hint="eastAsia"/>
          <w:b/>
          <w:szCs w:val="24"/>
          <w:highlight w:val="yellow"/>
          <w:u w:val="single"/>
        </w:rPr>
        <w:t>2025年1月15日14:30（北京时间）</w:t>
      </w:r>
      <w:r>
        <w:rPr>
          <w:rFonts w:ascii="宋体" w:hAnsi="宋体" w:cs="宋体" w:hint="eastAsia"/>
          <w:b/>
          <w:szCs w:val="21"/>
          <w:highlight w:val="yellow"/>
        </w:rPr>
        <w:t>前，携带法定代表人证明书（盖公章）及法人授权委托书（盖公章）</w:t>
      </w:r>
      <w:r>
        <w:rPr>
          <w:rFonts w:ascii="宋体" w:hAnsi="宋体" w:cs="宋体" w:hint="eastAsia"/>
          <w:szCs w:val="21"/>
        </w:rPr>
        <w:t>，到达深圳市中正招标有限公司开标室，按工作人员指引进行签到。</w:t>
      </w:r>
    </w:p>
    <w:p>
      <w:pPr>
        <w:spacing w:before="78" w:beforeLines="25" w:after="78" w:afterLines="25" w:line="360" w:lineRule="auto"/>
        <w:ind w:firstLine="393" w:firstLineChars="187"/>
        <w:rPr>
          <w:rFonts w:ascii="宋体" w:hAnsi="宋体" w:cs="宋体"/>
          <w:b/>
          <w:szCs w:val="21"/>
        </w:rPr>
      </w:pPr>
      <w:r>
        <w:rPr>
          <w:rFonts w:ascii="宋体" w:hAnsi="宋体" w:cs="宋体" w:hint="eastAsia"/>
          <w:b/>
          <w:szCs w:val="21"/>
          <w:highlight w:val="yellow"/>
        </w:rPr>
        <w:t>特别注意事项：（1）资料提供不齐全的，不予签到；（2）签到截止时间后不再受理签到；（3）未签到的人员，不能参与现场演示。</w:t>
      </w:r>
    </w:p>
    <w:p>
      <w:pPr>
        <w:spacing w:before="78" w:beforeLines="25" w:after="78" w:afterLines="25" w:line="360" w:lineRule="auto"/>
        <w:ind w:firstLine="393" w:firstLineChars="187"/>
        <w:rPr>
          <w:rFonts w:ascii="宋体" w:hAnsi="宋体" w:cs="宋体"/>
          <w:szCs w:val="21"/>
        </w:rPr>
      </w:pPr>
      <w:r>
        <w:rPr>
          <w:rFonts w:ascii="宋体" w:hAnsi="宋体" w:cs="宋体" w:hint="eastAsia"/>
          <w:szCs w:val="21"/>
        </w:rPr>
        <w:t>（三）演示内容：</w:t>
      </w:r>
    </w:p>
    <w:p>
      <w:pPr>
        <w:spacing w:before="78" w:beforeLines="25" w:after="78" w:afterLines="25" w:line="360" w:lineRule="auto"/>
        <w:ind w:firstLine="393" w:firstLineChars="187"/>
        <w:rPr>
          <w:rFonts w:ascii="宋体" w:eastAsia="宋体" w:hAnsi="宋体" w:cs="宋体" w:hint="eastAsia"/>
          <w:b/>
          <w:bCs/>
          <w:szCs w:val="21"/>
        </w:rPr>
      </w:pPr>
      <w:r>
        <w:rPr>
          <w:rFonts w:ascii="宋体" w:eastAsia="宋体" w:hAnsi="宋体" w:cs="宋体" w:hint="eastAsia"/>
          <w:b/>
          <w:bCs/>
          <w:szCs w:val="21"/>
          <w:lang w:val="en-US" w:eastAsia="zh-CN"/>
        </w:rPr>
        <w:t>1、</w:t>
      </w:r>
      <w:r>
        <w:rPr>
          <w:rFonts w:ascii="宋体" w:eastAsia="宋体" w:hAnsi="宋体" w:cs="宋体" w:hint="eastAsia"/>
          <w:b/>
          <w:bCs/>
          <w:szCs w:val="21"/>
        </w:rPr>
        <w:t>管理员端实现以下基本功能</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1</w:t>
      </w:r>
      <w:r>
        <w:rPr>
          <w:rFonts w:ascii="宋体" w:eastAsia="宋体" w:hAnsi="宋体" w:cs="宋体" w:hint="eastAsia"/>
          <w:szCs w:val="21"/>
          <w:lang w:eastAsia="zh-CN"/>
        </w:rPr>
        <w:t>）</w:t>
      </w:r>
      <w:r>
        <w:rPr>
          <w:rFonts w:ascii="宋体" w:eastAsia="宋体" w:hAnsi="宋体" w:cs="宋体" w:hint="eastAsia"/>
          <w:szCs w:val="21"/>
        </w:rPr>
        <w:t>统计功能</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1）</w:t>
      </w:r>
      <w:r>
        <w:rPr>
          <w:rFonts w:ascii="宋体" w:eastAsia="宋体" w:hAnsi="宋体" w:cs="宋体" w:hint="eastAsia"/>
          <w:szCs w:val="21"/>
        </w:rPr>
        <w:t>餐饮单位基础信息统计：至少包含企业分类统计。</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2）</w:t>
      </w:r>
      <w:r>
        <w:rPr>
          <w:rFonts w:ascii="宋体" w:eastAsia="宋体" w:hAnsi="宋体" w:cs="宋体" w:hint="eastAsia"/>
          <w:szCs w:val="21"/>
        </w:rPr>
        <w:t>设备在线数量统计。</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3）</w:t>
      </w:r>
      <w:r>
        <w:rPr>
          <w:rFonts w:ascii="宋体" w:eastAsia="宋体" w:hAnsi="宋体" w:cs="宋体" w:hint="eastAsia"/>
          <w:szCs w:val="21"/>
        </w:rPr>
        <w:t>食安指数排名统计。</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4）</w:t>
      </w:r>
      <w:r>
        <w:rPr>
          <w:rFonts w:ascii="宋体" w:eastAsia="宋体" w:hAnsi="宋体" w:cs="宋体" w:hint="eastAsia"/>
          <w:szCs w:val="21"/>
        </w:rPr>
        <w:t>证照预警及处置情况统计，证照预警包括：食品经营许可证</w:t>
      </w:r>
      <w:r>
        <w:rPr>
          <w:rFonts w:ascii="宋体" w:eastAsia="宋体" w:hAnsi="宋体" w:cs="宋体" w:hint="eastAsia"/>
          <w:szCs w:val="21"/>
          <w:lang w:val="en-US" w:eastAsia="zh-CN"/>
        </w:rPr>
        <w:t>到期提醒</w:t>
      </w:r>
      <w:r>
        <w:rPr>
          <w:rFonts w:ascii="宋体" w:eastAsia="宋体" w:hAnsi="宋体" w:cs="宋体" w:hint="eastAsia"/>
          <w:szCs w:val="21"/>
        </w:rPr>
        <w:t>。</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5）</w:t>
      </w:r>
      <w:r>
        <w:rPr>
          <w:rFonts w:ascii="宋体" w:eastAsia="宋体" w:hAnsi="宋体" w:cs="宋体" w:hint="eastAsia"/>
          <w:szCs w:val="21"/>
        </w:rPr>
        <w:t>AI智能抓拍及处置情况统计。</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6）</w:t>
      </w:r>
      <w:r>
        <w:rPr>
          <w:rFonts w:ascii="宋体" w:eastAsia="宋体" w:hAnsi="宋体" w:cs="宋体" w:hint="eastAsia"/>
          <w:szCs w:val="21"/>
        </w:rPr>
        <w:t>人工预警及处置情况统计。</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7）</w:t>
      </w:r>
      <w:r>
        <w:rPr>
          <w:rFonts w:ascii="宋体" w:eastAsia="宋体" w:hAnsi="宋体" w:cs="宋体" w:hint="eastAsia"/>
          <w:szCs w:val="21"/>
        </w:rPr>
        <w:t>投诉举报及处置情况统计。</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2</w:t>
      </w:r>
      <w:r>
        <w:rPr>
          <w:rFonts w:ascii="宋体" w:eastAsia="宋体" w:hAnsi="宋体" w:cs="宋体" w:hint="eastAsia"/>
          <w:szCs w:val="21"/>
          <w:lang w:eastAsia="zh-CN"/>
        </w:rPr>
        <w:t>）</w:t>
      </w:r>
      <w:r>
        <w:rPr>
          <w:rFonts w:ascii="宋体" w:eastAsia="宋体" w:hAnsi="宋体" w:cs="宋体" w:hint="eastAsia"/>
          <w:szCs w:val="21"/>
        </w:rPr>
        <w:t>功能模块</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1）</w:t>
      </w:r>
      <w:r>
        <w:rPr>
          <w:rFonts w:ascii="宋体" w:eastAsia="宋体" w:hAnsi="宋体" w:cs="宋体" w:hint="eastAsia"/>
          <w:szCs w:val="21"/>
        </w:rPr>
        <w:t>数据汇总展板，包括：食安指数，投诉建议，监督管理（含AI预警、人工预警）。</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2）</w:t>
      </w:r>
      <w:r>
        <w:rPr>
          <w:rFonts w:ascii="宋体" w:eastAsia="宋体" w:hAnsi="宋体" w:cs="宋体" w:hint="eastAsia"/>
          <w:szCs w:val="21"/>
        </w:rPr>
        <w:t>远程监控：支持按照全区、各街道、各类型、各企业分组进行远程监控查看、监控画面支持一画面、四画面、九画面同时播放实况视频，支持按指定时段查看回放。</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3）</w:t>
      </w:r>
      <w:r>
        <w:rPr>
          <w:rFonts w:ascii="宋体" w:eastAsia="宋体" w:hAnsi="宋体" w:cs="宋体" w:hint="eastAsia"/>
          <w:szCs w:val="21"/>
        </w:rPr>
        <w:t>GIS地图:支持名称检索、使用鼠标指向对应图标可浮动显示企业单位信息，单位信息包括单位名称、单位地址、单位类型、负责人、食安指数等信息。</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4）</w:t>
      </w:r>
      <w:r>
        <w:rPr>
          <w:rFonts w:ascii="宋体" w:eastAsia="宋体" w:hAnsi="宋体" w:cs="宋体" w:hint="eastAsia"/>
          <w:szCs w:val="21"/>
        </w:rPr>
        <w:t>AI行为分析预警:</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A.</w:t>
      </w:r>
      <w:r>
        <w:rPr>
          <w:rFonts w:ascii="宋体" w:eastAsia="宋体" w:hAnsi="宋体" w:cs="宋体" w:hint="eastAsia"/>
          <w:szCs w:val="21"/>
        </w:rPr>
        <w:t>预警通知可推送到指定用户。</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B.</w:t>
      </w:r>
      <w:r>
        <w:rPr>
          <w:rFonts w:ascii="宋体" w:eastAsia="宋体" w:hAnsi="宋体" w:cs="宋体" w:hint="eastAsia"/>
          <w:szCs w:val="21"/>
        </w:rPr>
        <w:t>支持实时抓拍、实时预警，统一页面按预警类型分类展示，预警类型包括：鼠患识别、未规范佩戴口罩、未规范穿工作衣、未规范戴工作帽等，提供抓拍图片和抓拍数据，其中鼠患识别需要抓拍5秒左右视频。</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5）</w:t>
      </w:r>
      <w:r>
        <w:rPr>
          <w:rFonts w:ascii="宋体" w:eastAsia="宋体" w:hAnsi="宋体" w:cs="宋体" w:hint="eastAsia"/>
          <w:szCs w:val="21"/>
        </w:rPr>
        <w:t>人工线上巡查任务闭环：支持管理员端发起人工线上巡查任务，支持通过观看对应企业的实况或回放视频，截取并上传违规图片、视频、检查结果等信息，推送到普通用户端，普通用户端用户登录系统进行检查结果处置反馈回复，完成闭环处理。</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6）</w:t>
      </w:r>
      <w:r>
        <w:rPr>
          <w:rFonts w:ascii="宋体" w:eastAsia="宋体" w:hAnsi="宋体" w:cs="宋体" w:hint="eastAsia"/>
          <w:szCs w:val="21"/>
        </w:rPr>
        <w:t>系统支持向管理员端发起上门检查或抽检任务：当餐饮单位食安指数低于80分或人工线上巡查发现重点问题未按期处置时，向对应权限的管理员端发起上门检查或抽检任务，支持管理员端录入上门检查或抽检反馈信息，形成闭环。</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3</w:t>
      </w:r>
      <w:r>
        <w:rPr>
          <w:rFonts w:ascii="宋体" w:eastAsia="宋体" w:hAnsi="宋体" w:cs="宋体" w:hint="eastAsia"/>
          <w:szCs w:val="21"/>
          <w:lang w:eastAsia="zh-CN"/>
        </w:rPr>
        <w:t>）</w:t>
      </w:r>
      <w:r>
        <w:rPr>
          <w:rFonts w:ascii="宋体" w:eastAsia="宋体" w:hAnsi="宋体" w:cs="宋体" w:hint="eastAsia"/>
          <w:szCs w:val="21"/>
        </w:rPr>
        <w:t>权限管理</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val="en-US" w:eastAsia="zh-CN"/>
        </w:rPr>
        <w:t>1）</w:t>
      </w:r>
      <w:r>
        <w:rPr>
          <w:rFonts w:ascii="宋体" w:eastAsia="宋体" w:hAnsi="宋体" w:cs="宋体" w:hint="eastAsia"/>
          <w:szCs w:val="21"/>
        </w:rPr>
        <w:t>管理员用户端支持各类身份设定，根据采购方要求，对每类身份设置查看权限。</w:t>
      </w:r>
    </w:p>
    <w:p>
      <w:pPr>
        <w:spacing w:before="78" w:beforeLines="25" w:after="78" w:afterLines="25" w:line="360" w:lineRule="auto"/>
        <w:ind w:firstLine="393" w:firstLineChars="187"/>
        <w:rPr>
          <w:rFonts w:ascii="宋体" w:eastAsia="宋体" w:hAnsi="宋体" w:cs="宋体" w:hint="eastAsia"/>
          <w:szCs w:val="21"/>
        </w:rPr>
      </w:pPr>
      <w:r>
        <w:rPr>
          <w:rFonts w:asciiTheme="minorEastAsia" w:eastAsiaTheme="minorEastAsia" w:hAnsiTheme="minorEastAsia" w:hint="eastAsia"/>
          <w:szCs w:val="21"/>
        </w:rPr>
        <w:t>2）</w:t>
      </w:r>
      <w:r>
        <w:rPr>
          <w:rFonts w:ascii="宋体" w:eastAsia="宋体" w:hAnsi="宋体" w:cs="宋体" w:hint="eastAsia"/>
          <w:szCs w:val="21"/>
        </w:rPr>
        <w:t>系统支持对管理员用户和餐饮单位进行对应关联。</w:t>
      </w:r>
    </w:p>
    <w:p>
      <w:pPr>
        <w:spacing w:before="78" w:beforeLines="25" w:after="78" w:afterLines="25" w:line="360" w:lineRule="auto"/>
        <w:ind w:firstLine="393" w:firstLineChars="187"/>
        <w:rPr>
          <w:rFonts w:ascii="宋体" w:eastAsia="宋体" w:hAnsi="宋体" w:cs="宋体" w:hint="eastAsia"/>
          <w:b/>
          <w:bCs/>
          <w:szCs w:val="21"/>
        </w:rPr>
      </w:pPr>
      <w:r>
        <w:rPr>
          <w:rFonts w:ascii="宋体" w:eastAsia="宋体" w:hAnsi="宋体" w:cs="宋体" w:hint="eastAsia"/>
          <w:b/>
          <w:bCs/>
          <w:szCs w:val="21"/>
          <w:lang w:val="en-US" w:eastAsia="zh-CN"/>
        </w:rPr>
        <w:t>2、</w:t>
      </w:r>
      <w:r>
        <w:rPr>
          <w:rFonts w:ascii="宋体" w:eastAsia="宋体" w:hAnsi="宋体" w:cs="宋体" w:hint="eastAsia"/>
          <w:b/>
          <w:bCs/>
          <w:szCs w:val="21"/>
        </w:rPr>
        <w:t>普通用户端实现以下基本功能</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1</w:t>
      </w:r>
      <w:r>
        <w:rPr>
          <w:rFonts w:ascii="宋体" w:eastAsia="宋体" w:hAnsi="宋体" w:cs="宋体" w:hint="eastAsia"/>
          <w:szCs w:val="21"/>
          <w:lang w:eastAsia="zh-CN"/>
        </w:rPr>
        <w:t>）</w:t>
      </w:r>
      <w:r>
        <w:rPr>
          <w:rFonts w:ascii="宋体" w:eastAsia="宋体" w:hAnsi="宋体" w:cs="宋体" w:hint="eastAsia"/>
          <w:szCs w:val="21"/>
        </w:rPr>
        <w:t>餐饮单位基础信息（包括但不限于证照、负责人、食品安全管理人员及联系方式等基础信息）录入与管理，录入信息后管理员端实时同步数据。</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2</w:t>
      </w:r>
      <w:r>
        <w:rPr>
          <w:rFonts w:ascii="宋体" w:eastAsia="宋体" w:hAnsi="宋体" w:cs="宋体" w:hint="eastAsia"/>
          <w:szCs w:val="21"/>
          <w:lang w:eastAsia="zh-CN"/>
        </w:rPr>
        <w:t>）</w:t>
      </w:r>
      <w:r>
        <w:rPr>
          <w:rFonts w:ascii="宋体" w:eastAsia="宋体" w:hAnsi="宋体" w:cs="宋体" w:hint="eastAsia"/>
          <w:szCs w:val="21"/>
        </w:rPr>
        <w:t>预警数据处理闭环：用户端可以登录系统查看并处理AI预警、人工巡查预警数据，处理后需要签名确认，以上预警和处理信息能够在管理员端口实时同步数据。</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3</w:t>
      </w:r>
      <w:r>
        <w:rPr>
          <w:rFonts w:ascii="宋体" w:eastAsia="宋体" w:hAnsi="宋体" w:cs="宋体" w:hint="eastAsia"/>
          <w:szCs w:val="21"/>
          <w:lang w:eastAsia="zh-CN"/>
        </w:rPr>
        <w:t>）</w:t>
      </w:r>
      <w:r>
        <w:rPr>
          <w:rFonts w:ascii="宋体" w:eastAsia="宋体" w:hAnsi="宋体" w:cs="宋体" w:hint="eastAsia"/>
          <w:szCs w:val="21"/>
        </w:rPr>
        <w:t>支持系统根据预警及整改情况生成落实主体责任的“日管控”“周排查”“月调度”表单，支持普通用户端线上签名和下载。</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4</w:t>
      </w:r>
      <w:r>
        <w:rPr>
          <w:rFonts w:ascii="宋体" w:eastAsia="宋体" w:hAnsi="宋体" w:cs="宋体" w:hint="eastAsia"/>
          <w:szCs w:val="21"/>
          <w:lang w:eastAsia="zh-CN"/>
        </w:rPr>
        <w:t>）</w:t>
      </w:r>
      <w:r>
        <w:rPr>
          <w:rFonts w:ascii="宋体" w:eastAsia="宋体" w:hAnsi="宋体" w:cs="宋体" w:hint="eastAsia"/>
          <w:szCs w:val="21"/>
        </w:rPr>
        <w:t>在系统中预设常见违规操作相关食品安全知识，如发生以上预警情形的，在推送预警信息时，同步推送相关食品安全知识。</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5</w:t>
      </w:r>
      <w:r>
        <w:rPr>
          <w:rFonts w:ascii="宋体" w:eastAsia="宋体" w:hAnsi="宋体" w:cs="宋体" w:hint="eastAsia"/>
          <w:szCs w:val="21"/>
          <w:lang w:eastAsia="zh-CN"/>
        </w:rPr>
        <w:t>）</w:t>
      </w:r>
      <w:r>
        <w:rPr>
          <w:rFonts w:ascii="宋体" w:eastAsia="宋体" w:hAnsi="宋体" w:cs="宋体" w:hint="eastAsia"/>
          <w:szCs w:val="21"/>
        </w:rPr>
        <w:t>食安指数自动更新闭环：产生预警时食安指数自动扣分，普通用户端接收预警通知，上传整改信息后，食安指数自动加分，各类用户端展示页面自动完成食安指数更新。</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6</w:t>
      </w:r>
      <w:r>
        <w:rPr>
          <w:rFonts w:ascii="宋体" w:eastAsia="宋体" w:hAnsi="宋体" w:cs="宋体" w:hint="eastAsia"/>
          <w:szCs w:val="21"/>
          <w:lang w:eastAsia="zh-CN"/>
        </w:rPr>
        <w:t>）</w:t>
      </w:r>
      <w:r>
        <w:rPr>
          <w:rFonts w:ascii="宋体" w:eastAsia="宋体" w:hAnsi="宋体" w:cs="宋体" w:hint="eastAsia"/>
          <w:szCs w:val="21"/>
        </w:rPr>
        <w:t>投诉信息回复闭环：普通用户端接收公众端提交的投诉信息，回复处置信息后，投诉和处置的信息能够在管理员端口实时同步数据。</w:t>
      </w:r>
    </w:p>
    <w:p>
      <w:pPr>
        <w:spacing w:before="78" w:beforeLines="25" w:after="78" w:afterLines="25" w:line="360" w:lineRule="auto"/>
        <w:ind w:firstLine="393" w:firstLineChars="187"/>
        <w:rPr>
          <w:rFonts w:ascii="宋体" w:eastAsia="宋体" w:hAnsi="宋体" w:cs="宋体" w:hint="eastAsia"/>
          <w:b/>
          <w:bCs/>
          <w:szCs w:val="21"/>
        </w:rPr>
      </w:pPr>
      <w:r>
        <w:rPr>
          <w:rFonts w:ascii="宋体" w:eastAsia="宋体" w:hAnsi="宋体" w:cs="宋体" w:hint="eastAsia"/>
          <w:b/>
          <w:bCs/>
          <w:szCs w:val="21"/>
          <w:lang w:val="en-US" w:eastAsia="zh-CN"/>
        </w:rPr>
        <w:t>3、</w:t>
      </w:r>
      <w:r>
        <w:rPr>
          <w:rFonts w:ascii="宋体" w:eastAsia="宋体" w:hAnsi="宋体" w:cs="宋体" w:hint="eastAsia"/>
          <w:b/>
          <w:bCs/>
          <w:szCs w:val="21"/>
        </w:rPr>
        <w:t>公众端实现以下基本功能</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1</w:t>
      </w:r>
      <w:r>
        <w:rPr>
          <w:rFonts w:ascii="宋体" w:eastAsia="宋体" w:hAnsi="宋体" w:cs="宋体" w:hint="eastAsia"/>
          <w:szCs w:val="21"/>
          <w:lang w:eastAsia="zh-CN"/>
        </w:rPr>
        <w:t>）</w:t>
      </w:r>
      <w:r>
        <w:rPr>
          <w:rFonts w:ascii="宋体" w:eastAsia="宋体" w:hAnsi="宋体" w:cs="宋体" w:hint="eastAsia"/>
          <w:szCs w:val="21"/>
        </w:rPr>
        <w:t>一企一码，支持消费者通过扫码查看商家后厨视频、商家地址、联系方式、食安指数等信息。</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2</w:t>
      </w:r>
      <w:r>
        <w:rPr>
          <w:rFonts w:ascii="宋体" w:eastAsia="宋体" w:hAnsi="宋体" w:cs="宋体" w:hint="eastAsia"/>
          <w:szCs w:val="21"/>
          <w:lang w:eastAsia="zh-CN"/>
        </w:rPr>
        <w:t>）</w:t>
      </w:r>
      <w:r>
        <w:rPr>
          <w:rFonts w:ascii="宋体" w:eastAsia="宋体" w:hAnsi="宋体" w:cs="宋体" w:hint="eastAsia"/>
          <w:szCs w:val="21"/>
        </w:rPr>
        <w:t>消费者评价闭环：支持消费者通过文字、拍照、视频上传等多种方式对企业进行评价或投诉，以上信息同步推送到普通用户端。</w:t>
      </w:r>
    </w:p>
    <w:p>
      <w:pPr>
        <w:spacing w:before="78" w:beforeLines="25" w:after="78" w:afterLines="25" w:line="360" w:lineRule="auto"/>
        <w:ind w:firstLine="393" w:firstLineChars="187"/>
        <w:rPr>
          <w:rFonts w:ascii="宋体" w:eastAsia="宋体" w:hAnsi="宋体" w:cs="宋体" w:hint="eastAsia"/>
          <w:b/>
          <w:bCs/>
          <w:szCs w:val="21"/>
        </w:rPr>
      </w:pPr>
      <w:r>
        <w:rPr>
          <w:rFonts w:ascii="宋体" w:eastAsia="宋体" w:hAnsi="宋体" w:cs="宋体" w:hint="eastAsia"/>
          <w:b/>
          <w:bCs/>
          <w:szCs w:val="21"/>
          <w:lang w:val="en-US" w:eastAsia="zh-CN"/>
        </w:rPr>
        <w:t>4、</w:t>
      </w:r>
      <w:r>
        <w:rPr>
          <w:rFonts w:ascii="宋体" w:eastAsia="宋体" w:hAnsi="宋体" w:cs="宋体" w:hint="eastAsia"/>
          <w:b/>
          <w:bCs/>
          <w:szCs w:val="21"/>
        </w:rPr>
        <w:t>运维管理系统</w:t>
      </w:r>
    </w:p>
    <w:p>
      <w:pPr>
        <w:spacing w:before="78" w:beforeLines="25" w:after="78" w:afterLines="25" w:line="360" w:lineRule="auto"/>
        <w:ind w:firstLine="393" w:firstLineChars="187"/>
        <w:rPr>
          <w:rFonts w:ascii="宋体" w:eastAsia="宋体" w:hAnsi="宋体" w:cs="宋体" w:hint="eastAsia"/>
          <w:b/>
          <w:bCs/>
          <w:szCs w:val="21"/>
        </w:rPr>
      </w:pPr>
      <w:r>
        <w:rPr>
          <w:rFonts w:ascii="宋体" w:eastAsia="宋体" w:hAnsi="宋体" w:cs="宋体" w:hint="eastAsia"/>
          <w:b/>
          <w:bCs/>
          <w:szCs w:val="21"/>
        </w:rPr>
        <w:t>“互联网+明厨亮灶”运维管理web端实现以下功能：</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1</w:t>
      </w:r>
      <w:r>
        <w:rPr>
          <w:rFonts w:ascii="宋体" w:eastAsia="宋体" w:hAnsi="宋体" w:cs="宋体" w:hint="eastAsia"/>
          <w:szCs w:val="21"/>
          <w:lang w:eastAsia="zh-CN"/>
        </w:rPr>
        <w:t>）</w:t>
      </w:r>
      <w:r>
        <w:rPr>
          <w:rFonts w:ascii="宋体" w:eastAsia="宋体" w:hAnsi="宋体" w:cs="宋体" w:hint="eastAsia"/>
          <w:szCs w:val="21"/>
        </w:rPr>
        <w:t>主体管理：支持增改查运维的主体单位，批量修改，导入及导出，支持查看编辑每个主体的主体信息、运维信息、网络信息、点位信息、设备信息、动态信息和工单信息。</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2</w:t>
      </w:r>
      <w:r>
        <w:rPr>
          <w:rFonts w:ascii="宋体" w:eastAsia="宋体" w:hAnsi="宋体" w:cs="宋体" w:hint="eastAsia"/>
          <w:szCs w:val="21"/>
          <w:lang w:eastAsia="zh-CN"/>
        </w:rPr>
        <w:t>）</w:t>
      </w:r>
      <w:r>
        <w:rPr>
          <w:rFonts w:ascii="宋体" w:eastAsia="宋体" w:hAnsi="宋体" w:cs="宋体" w:hint="eastAsia"/>
          <w:szCs w:val="21"/>
        </w:rPr>
        <w:t>设备管理：支持增改查所有设备，包括已入库的设备，已安装的设备，运维人员的备件和状态异常的设备（包括遗失和报废）。支持导入导出。支持查看设备的流通信息并对设备标注异常，标注后需要审批。支持配置设备的类型和品牌型号。</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3</w:t>
      </w:r>
      <w:r>
        <w:rPr>
          <w:rFonts w:ascii="宋体" w:eastAsia="宋体" w:hAnsi="宋体" w:cs="宋体" w:hint="eastAsia"/>
          <w:szCs w:val="21"/>
          <w:lang w:eastAsia="zh-CN"/>
        </w:rPr>
        <w:t>）</w:t>
      </w:r>
      <w:r>
        <w:rPr>
          <w:rFonts w:ascii="宋体" w:eastAsia="宋体" w:hAnsi="宋体" w:cs="宋体" w:hint="eastAsia"/>
          <w:szCs w:val="21"/>
        </w:rPr>
        <w:t>网络管理：支持增改查所有物联网卡及光纤，将网络绑定到主体，或从主体解绑。对接运营商平台获取卡状态和流量，支持对卡进行停机复机等操作，支持获取卡日志，添加备注。支持管理流量池卡列表，设置单卡阈值。</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4</w:t>
      </w:r>
      <w:r>
        <w:rPr>
          <w:rFonts w:ascii="宋体" w:eastAsia="宋体" w:hAnsi="宋体" w:cs="宋体" w:hint="eastAsia"/>
          <w:szCs w:val="21"/>
          <w:lang w:eastAsia="zh-CN"/>
        </w:rPr>
        <w:t>）</w:t>
      </w:r>
      <w:r>
        <w:rPr>
          <w:rFonts w:ascii="宋体" w:eastAsia="宋体" w:hAnsi="宋体" w:cs="宋体" w:hint="eastAsia"/>
          <w:szCs w:val="21"/>
        </w:rPr>
        <w:t>工单管理：支持增改查所有工单，支持查看工单相关的主体信息，工单状态信息，工单信息，动态信息和回执信息。支持导入导出，批量修改。系统预置新建安装，新建踏勘，拆下拆回，上门保养和故障排查五种类型工单。支持根据离线时长自动生成故障工单。支持配置工单类型的状态和截止时间。</w:t>
      </w:r>
    </w:p>
    <w:p>
      <w:pPr>
        <w:spacing w:before="78" w:beforeLines="25" w:after="78" w:afterLines="25" w:line="360" w:lineRule="auto"/>
        <w:ind w:firstLine="393" w:firstLineChars="187"/>
        <w:rPr>
          <w:rFonts w:ascii="宋体" w:eastAsia="宋体" w:hAnsi="宋体" w:cs="宋体" w:hint="eastAsia"/>
          <w:b/>
          <w:bCs/>
          <w:szCs w:val="21"/>
        </w:rPr>
      </w:pPr>
      <w:r>
        <w:rPr>
          <w:rFonts w:ascii="宋体" w:eastAsia="宋体" w:hAnsi="宋体" w:cs="宋体" w:hint="eastAsia"/>
          <w:b/>
          <w:bCs/>
          <w:szCs w:val="21"/>
        </w:rPr>
        <w:t>“互联网+明厨亮灶”运维管理（移动端）应实现以下功能：</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1</w:t>
      </w:r>
      <w:r>
        <w:rPr>
          <w:rFonts w:ascii="宋体" w:eastAsia="宋体" w:hAnsi="宋体" w:cs="宋体" w:hint="eastAsia"/>
          <w:szCs w:val="21"/>
          <w:lang w:eastAsia="zh-CN"/>
        </w:rPr>
        <w:t>）</w:t>
      </w:r>
      <w:r>
        <w:rPr>
          <w:rFonts w:ascii="宋体" w:eastAsia="宋体" w:hAnsi="宋体" w:cs="宋体" w:hint="eastAsia"/>
          <w:szCs w:val="21"/>
        </w:rPr>
        <w:t>主体管理：支持增改查运维的主体单位，持查看编辑每个主体的主体信息、运维信息、网络信息和设备信息。</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2</w:t>
      </w:r>
      <w:r>
        <w:rPr>
          <w:rFonts w:ascii="宋体" w:eastAsia="宋体" w:hAnsi="宋体" w:cs="宋体" w:hint="eastAsia"/>
          <w:szCs w:val="21"/>
          <w:lang w:eastAsia="zh-CN"/>
        </w:rPr>
        <w:t>）</w:t>
      </w:r>
      <w:r>
        <w:rPr>
          <w:rFonts w:ascii="宋体" w:eastAsia="宋体" w:hAnsi="宋体" w:cs="宋体" w:hint="eastAsia"/>
          <w:szCs w:val="21"/>
        </w:rPr>
        <w:t>设备管理：支持运维人员增改查当前用户的备件。支持对设备标注异常（包括遗失和报废），标注后需要审批。</w:t>
      </w:r>
    </w:p>
    <w:p>
      <w:pPr>
        <w:spacing w:before="78" w:beforeLines="25" w:after="78" w:afterLines="25" w:line="360" w:lineRule="auto"/>
        <w:ind w:firstLine="393" w:firstLineChars="187"/>
        <w:rPr>
          <w:rFonts w:ascii="宋体" w:eastAsia="宋体" w:hAnsi="宋体" w:cs="宋体" w:hint="eastAsia"/>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3</w:t>
      </w:r>
      <w:r>
        <w:rPr>
          <w:rFonts w:ascii="宋体" w:eastAsia="宋体" w:hAnsi="宋体" w:cs="宋体" w:hint="eastAsia"/>
          <w:szCs w:val="21"/>
          <w:lang w:eastAsia="zh-CN"/>
        </w:rPr>
        <w:t>）</w:t>
      </w:r>
      <w:r>
        <w:rPr>
          <w:rFonts w:ascii="宋体" w:eastAsia="宋体" w:hAnsi="宋体" w:cs="宋体" w:hint="eastAsia"/>
          <w:szCs w:val="21"/>
        </w:rPr>
        <w:t>工单管理：支持增改查所有工单，支持查看编辑工单信息及回执信息，支持查看工单的动态信息。支持对工单进行开始，暂停，继续和结束的操作。</w:t>
      </w:r>
    </w:p>
    <w:p>
      <w:pPr>
        <w:spacing w:line="360" w:lineRule="auto"/>
        <w:jc w:val="center"/>
        <w:rPr>
          <w:rFonts w:ascii="宋体" w:hAnsi="宋体" w:hint="eastAsia"/>
          <w:b/>
          <w:kern w:val="0"/>
          <w:sz w:val="28"/>
          <w:szCs w:val="28"/>
          <w:lang w:val="en-US" w:eastAsia="zh-CN"/>
        </w:rPr>
      </w:pPr>
    </w:p>
    <w:p>
      <w:pPr>
        <w:spacing w:line="360" w:lineRule="auto"/>
        <w:jc w:val="center"/>
        <w:rPr>
          <w:rFonts w:ascii="宋体" w:hAnsi="宋体"/>
          <w:b/>
          <w:kern w:val="0"/>
          <w:sz w:val="28"/>
          <w:szCs w:val="28"/>
        </w:rPr>
      </w:pPr>
      <w:r>
        <w:rPr>
          <w:rFonts w:ascii="宋体" w:hAnsi="宋体" w:hint="eastAsia"/>
          <w:b/>
          <w:kern w:val="0"/>
          <w:sz w:val="28"/>
          <w:szCs w:val="28"/>
          <w:lang w:val="en-US" w:eastAsia="zh-CN"/>
        </w:rPr>
        <w:t>七</w:t>
      </w:r>
      <w:r>
        <w:rPr>
          <w:rFonts w:ascii="宋体" w:hAnsi="宋体" w:hint="eastAsia"/>
          <w:b/>
          <w:kern w:val="0"/>
          <w:sz w:val="28"/>
          <w:szCs w:val="28"/>
        </w:rPr>
        <w:t>、其他要求</w:t>
      </w:r>
    </w:p>
    <w:p>
      <w:pPr>
        <w:spacing w:line="360" w:lineRule="auto"/>
        <w:ind w:firstLine="426"/>
        <w:rPr>
          <w:rFonts w:ascii="宋体" w:hAnsi="宋体" w:eastAsiaTheme="minorEastAsia"/>
          <w:kern w:val="0"/>
          <w:szCs w:val="21"/>
          <w:lang w:val="zh-CN"/>
        </w:rPr>
      </w:pPr>
      <w:r>
        <w:rPr>
          <w:rFonts w:ascii="宋体" w:hAnsi="宋体" w:eastAsiaTheme="minorEastAsia" w:hint="eastAsia"/>
          <w:kern w:val="0"/>
          <w:szCs w:val="21"/>
          <w:highlight w:val="yellow"/>
          <w:lang w:val="zh-CN"/>
        </w:rPr>
        <w:t>★</w:t>
      </w:r>
      <w:r>
        <w:rPr>
          <w:rFonts w:ascii="宋体" w:hAnsi="宋体" w:cs="宋体" w:hint="eastAsia"/>
          <w:b/>
          <w:bCs/>
          <w:color w:val="FF0000"/>
          <w:szCs w:val="21"/>
          <w:highlight w:val="yellow"/>
        </w:rPr>
        <w:t>投标供应商须提供法定代表人（</w:t>
      </w:r>
      <w:r>
        <w:rPr>
          <w:rFonts w:ascii="宋体" w:hAnsi="宋体" w:cs="宋体" w:hint="eastAsia"/>
          <w:b/>
          <w:bCs/>
          <w:color w:val="FF0000"/>
          <w:szCs w:val="21"/>
          <w:highlight w:val="yellow"/>
          <w:lang w:eastAsia="zh-CN"/>
        </w:rPr>
        <w:t>单位</w:t>
      </w:r>
      <w:r>
        <w:rPr>
          <w:rFonts w:ascii="宋体" w:hAnsi="宋体" w:cs="宋体" w:hint="eastAsia"/>
          <w:b/>
          <w:bCs/>
          <w:color w:val="FF0000"/>
          <w:szCs w:val="21"/>
          <w:highlight w:val="yellow"/>
        </w:rPr>
        <w:t>负责人）和项目投标授权代表人在开标日前近一个月载有社保部门或税务部门公章的个人社保缴纳查询记录（不限定缴纳单位）</w:t>
      </w:r>
      <w:r>
        <w:rPr>
          <w:rFonts w:ascii="宋体" w:hAnsi="宋体" w:cs="宋体" w:hint="eastAsia"/>
          <w:szCs w:val="21"/>
          <w:highlight w:val="yellow"/>
        </w:rPr>
        <w:t>；因社保部门或税务部门原因近一个月的社保证明暂时无法提供的，可往前顺延一个月；无社保缴纳记录或无法提供</w:t>
      </w:r>
      <w:r>
        <w:rPr>
          <w:rFonts w:ascii="宋体" w:hAnsi="宋体" w:cs="宋体" w:hint="eastAsia"/>
          <w:szCs w:val="21"/>
          <w:highlight w:val="yellow"/>
          <w:lang w:eastAsia="zh-CN"/>
        </w:rPr>
        <w:t>社保证明</w:t>
      </w:r>
      <w:r>
        <w:rPr>
          <w:rFonts w:ascii="宋体" w:hAnsi="宋体" w:cs="宋体" w:hint="eastAsia"/>
          <w:szCs w:val="21"/>
          <w:highlight w:val="yellow"/>
        </w:rPr>
        <w:t>的需提供</w:t>
      </w:r>
      <w:r>
        <w:rPr>
          <w:rFonts w:ascii="宋体" w:hAnsi="宋体" w:cs="宋体" w:hint="eastAsia"/>
          <w:szCs w:val="21"/>
          <w:highlight w:val="yellow"/>
          <w:lang w:eastAsia="zh-CN"/>
        </w:rPr>
        <w:t>情况</w:t>
      </w:r>
      <w:r>
        <w:rPr>
          <w:rFonts w:ascii="宋体" w:hAnsi="宋体" w:cs="宋体" w:hint="eastAsia"/>
          <w:szCs w:val="21"/>
          <w:highlight w:val="yellow"/>
        </w:rPr>
        <w:t>说明</w:t>
      </w:r>
      <w:r>
        <w:rPr>
          <w:rFonts w:ascii="宋体" w:hAnsi="宋体" w:cs="宋体" w:hint="eastAsia"/>
          <w:szCs w:val="21"/>
          <w:highlight w:val="yellow"/>
          <w:lang w:eastAsia="zh-CN"/>
        </w:rPr>
        <w:t>并承诺与其他</w:t>
      </w:r>
      <w:r>
        <w:rPr>
          <w:rFonts w:ascii="宋体" w:hAnsi="宋体" w:cs="宋体" w:hint="eastAsia"/>
          <w:szCs w:val="21"/>
          <w:highlight w:val="yellow"/>
        </w:rPr>
        <w:t>投标供应商之间</w:t>
      </w:r>
      <w:r>
        <w:rPr>
          <w:rFonts w:ascii="宋体" w:hAnsi="宋体" w:cs="宋体" w:hint="eastAsia"/>
          <w:szCs w:val="21"/>
          <w:highlight w:val="yellow"/>
          <w:lang w:eastAsia="zh-CN"/>
        </w:rPr>
        <w:t>不</w:t>
      </w:r>
      <w:r>
        <w:rPr>
          <w:rFonts w:ascii="宋体" w:hAnsi="宋体" w:cs="宋体" w:hint="eastAsia"/>
          <w:szCs w:val="21"/>
          <w:highlight w:val="yellow"/>
        </w:rPr>
        <w:t>存在法定代表人（</w:t>
      </w:r>
      <w:r>
        <w:rPr>
          <w:rFonts w:ascii="宋体" w:hAnsi="宋体" w:cs="宋体" w:hint="eastAsia"/>
          <w:szCs w:val="21"/>
          <w:highlight w:val="yellow"/>
          <w:lang w:eastAsia="zh-CN"/>
        </w:rPr>
        <w:t>单位</w:t>
      </w:r>
      <w:r>
        <w:rPr>
          <w:rFonts w:ascii="宋体" w:hAnsi="宋体" w:cs="宋体" w:hint="eastAsia"/>
          <w:szCs w:val="21"/>
          <w:highlight w:val="yellow"/>
        </w:rPr>
        <w:t>负责人）、项目投标授权代表人为同一人、属同一单位或者在同一单位缴纳社保的</w:t>
      </w:r>
      <w:r>
        <w:rPr>
          <w:rFonts w:ascii="宋体" w:hAnsi="宋体" w:cs="宋体" w:hint="eastAsia"/>
          <w:szCs w:val="21"/>
          <w:highlight w:val="yellow"/>
          <w:lang w:eastAsia="zh-CN"/>
        </w:rPr>
        <w:t>情况</w:t>
      </w:r>
      <w:r>
        <w:rPr>
          <w:rFonts w:ascii="宋体" w:hAnsi="宋体" w:cs="宋体" w:hint="eastAsia"/>
          <w:szCs w:val="21"/>
          <w:highlight w:val="yellow"/>
        </w:rPr>
        <w:t>（格式自拟）。未按要求提供</w:t>
      </w:r>
      <w:r>
        <w:rPr>
          <w:rFonts w:ascii="宋体" w:hAnsi="宋体" w:cs="宋体" w:hint="eastAsia"/>
          <w:szCs w:val="21"/>
          <w:highlight w:val="yellow"/>
          <w:lang w:eastAsia="zh-CN"/>
        </w:rPr>
        <w:t>相关</w:t>
      </w:r>
      <w:r>
        <w:rPr>
          <w:rFonts w:ascii="宋体" w:hAnsi="宋体" w:cs="宋体" w:hint="eastAsia"/>
          <w:szCs w:val="21"/>
          <w:highlight w:val="yellow"/>
        </w:rPr>
        <w:t>材料或投标供应商之间存在法定代表人（</w:t>
      </w:r>
      <w:r>
        <w:rPr>
          <w:rFonts w:ascii="宋体" w:hAnsi="宋体" w:cs="宋体" w:hint="eastAsia"/>
          <w:szCs w:val="21"/>
          <w:highlight w:val="yellow"/>
          <w:lang w:eastAsia="zh-CN"/>
        </w:rPr>
        <w:t>单位</w:t>
      </w:r>
      <w:r>
        <w:rPr>
          <w:rFonts w:ascii="宋体" w:hAnsi="宋体" w:cs="宋体" w:hint="eastAsia"/>
          <w:szCs w:val="21"/>
          <w:highlight w:val="yellow"/>
        </w:rPr>
        <w:t>负责人）、项目投标授权代表人为同一人、属同一单位或者在同一单位缴纳社保的，按投标无效处理</w:t>
      </w:r>
      <w:r>
        <w:rPr>
          <w:rFonts w:ascii="宋体" w:hAnsi="宋体" w:eastAsiaTheme="minorEastAsia" w:hint="eastAsia"/>
          <w:kern w:val="0"/>
          <w:szCs w:val="21"/>
          <w:highlight w:val="yellow"/>
          <w:lang w:val="zh-CN"/>
        </w:rPr>
        <w:t>。</w:t>
      </w:r>
    </w:p>
    <w:p>
      <w:pPr>
        <w:widowControl/>
        <w:jc w:val="left"/>
        <w:rPr>
          <w:rFonts w:ascii="宋体" w:hAnsi="宋体"/>
          <w:szCs w:val="21"/>
        </w:rPr>
      </w:pPr>
      <w:r>
        <w:rPr>
          <w:rFonts w:ascii="宋体" w:hAnsi="宋体"/>
          <w:szCs w:val="21"/>
        </w:rPr>
        <w:br w:type="page"/>
      </w:r>
    </w:p>
    <w:p>
      <w:pPr>
        <w:keepNext/>
        <w:keepLines/>
        <w:adjustRightInd w:val="0"/>
        <w:spacing w:before="260" w:after="260"/>
        <w:jc w:val="center"/>
        <w:textAlignment w:val="baseline"/>
        <w:outlineLvl w:val="1"/>
        <w:rPr>
          <w:rFonts w:ascii="宋体" w:hAnsi="宋体"/>
          <w:b/>
          <w:bCs/>
          <w:sz w:val="24"/>
          <w:szCs w:val="20"/>
        </w:rPr>
      </w:pPr>
      <w:r>
        <w:rPr>
          <w:rFonts w:ascii="宋体" w:hAnsi="宋体" w:hint="eastAsia"/>
          <w:b/>
          <w:bCs/>
          <w:sz w:val="24"/>
          <w:szCs w:val="20"/>
        </w:rPr>
        <w:t>第三章</w:t>
      </w:r>
      <w:r>
        <w:rPr>
          <w:rFonts w:ascii="宋体" w:hAnsi="宋体"/>
          <w:b/>
          <w:bCs/>
          <w:sz w:val="24"/>
          <w:szCs w:val="20"/>
        </w:rPr>
        <w:t xml:space="preserve"> </w:t>
      </w:r>
      <w:r>
        <w:rPr>
          <w:rFonts w:ascii="宋体" w:hAnsi="宋体" w:hint="eastAsia"/>
          <w:b/>
          <w:bCs/>
          <w:sz w:val="24"/>
          <w:szCs w:val="20"/>
        </w:rPr>
        <w:t xml:space="preserve"> 投标文件格式、附件</w:t>
      </w:r>
    </w:p>
    <w:p>
      <w:pPr>
        <w:rPr>
          <w:rFonts w:ascii="Times New Roman" w:hAnsi="Times New Roman"/>
          <w:b/>
          <w:bCs/>
          <w:sz w:val="24"/>
          <w:szCs w:val="32"/>
        </w:rPr>
      </w:pPr>
      <w:r>
        <w:rPr>
          <w:rFonts w:ascii="Times New Roman" w:hAnsi="Times New Roman" w:hint="eastAsia"/>
          <w:b/>
          <w:bCs/>
          <w:sz w:val="24"/>
          <w:szCs w:val="32"/>
        </w:rPr>
        <w:t>特别提醒：</w:t>
      </w:r>
    </w:p>
    <w:p>
      <w:pPr>
        <w:rPr>
          <w:rFonts w:ascii="Times New Roman" w:hAnsi="Times New Roman"/>
          <w:b/>
          <w:bCs/>
          <w:sz w:val="24"/>
          <w:szCs w:val="32"/>
        </w:rPr>
      </w:pPr>
    </w:p>
    <w:p>
      <w:pPr>
        <w:widowControl/>
        <w:ind w:firstLine="420" w:firstLineChars="200"/>
        <w:jc w:val="left"/>
        <w:rPr>
          <w:rFonts w:ascii="仿宋_GB2312" w:eastAsia="仿宋_GB2312" w:hAnsi="Times New Roman"/>
          <w:kern w:val="0"/>
          <w:sz w:val="24"/>
          <w:szCs w:val="24"/>
        </w:rPr>
      </w:pPr>
      <w:r>
        <w:rPr>
          <w:rFonts w:ascii="仿宋_GB2312" w:eastAsia="仿宋_GB2312" w:hAnsi="Times New Roman" w:hint="eastAsia"/>
          <w:b/>
          <w:kern w:val="0"/>
          <w:sz w:val="24"/>
          <w:szCs w:val="24"/>
        </w:rPr>
        <w:t>投标文件正文将对外公开，投标文件附件不公开。</w:t>
      </w:r>
      <w:r>
        <w:rPr>
          <w:rFonts w:ascii="仿宋_GB2312" w:eastAsia="仿宋_GB2312" w:hAnsi="Times New Roman" w:hint="eastAsia"/>
          <w:kern w:val="0"/>
          <w:sz w:val="24"/>
          <w:szCs w:val="24"/>
        </w:rPr>
        <w:t>投标人在编辑投标文件时，在投标文件目录中属于本节点内容的必须在本节点中填写，填写到其他节点或附件的将可能导致投标无效，一切后果由供应商自行承担。</w:t>
      </w:r>
    </w:p>
    <w:p>
      <w:pPr>
        <w:widowControl/>
        <w:jc w:val="left"/>
        <w:rPr>
          <w:rFonts w:ascii="仿宋_GB2312" w:eastAsia="仿宋_GB2312" w:hAnsi="Times New Roman"/>
          <w:kern w:val="0"/>
          <w:sz w:val="24"/>
          <w:szCs w:val="24"/>
        </w:rPr>
      </w:pPr>
      <w:r>
        <w:rPr>
          <w:rFonts w:ascii="仿宋_GB2312" w:eastAsia="仿宋_GB2312" w:hAnsi="Times New Roman" w:hint="eastAsia"/>
          <w:kern w:val="0"/>
          <w:sz w:val="24"/>
          <w:szCs w:val="24"/>
        </w:rPr>
        <w:t xml:space="preserve">    投标人应按招标文件规定的“投标文件组成”编制投标文件正文（信息公开部分）和投标文件附件（信息不公开部分），举例如下图：</w:t>
      </w:r>
    </w:p>
    <w:p>
      <w:pPr>
        <w:widowControl/>
        <w:jc w:val="center"/>
        <w:rPr>
          <w:rFonts w:ascii="宋体" w:hAnsi="宋体" w:eastAsiaTheme="minorEastAsia" w:cs="宋体"/>
          <w:kern w:val="0"/>
          <w:sz w:val="24"/>
          <w:szCs w:val="24"/>
          <w:highlight w:val="green"/>
        </w:rPr>
      </w:pPr>
      <w:r>
        <w:rPr>
          <w:rFonts w:ascii="仿宋_GB2312" w:eastAsia="仿宋_GB2312" w:hAnsi="Times New Roman"/>
          <w:kern w:val="0"/>
          <w:sz w:val="24"/>
          <w:szCs w:val="24"/>
          <w:highlight w:val="green"/>
        </w:rPr>
        <w:drawing>
          <wp:inline distT="0" distB="0" distL="0" distR="0">
            <wp:extent cx="5278755" cy="4126230"/>
            <wp:effectExtent l="0" t="0" r="0" b="0"/>
            <wp:docPr id="2" name="图片 6"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descr="图形用户界面, 应用程序&#10;&#10;描述已自动生成"/>
                    <pic:cNvPicPr>
                      <a:picLocks noChangeAspect="1" noChangeArrowheads="1"/>
                    </pic:cNvPicPr>
                  </pic:nvPicPr>
                  <pic:blipFill>
                    <a:blip xmlns:r="http://schemas.openxmlformats.org/officeDocument/2006/relationships" r:embed="rId10"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8755" cy="4126230"/>
                    </a:xfrm>
                    <a:prstGeom prst="rect">
                      <a:avLst/>
                    </a:prstGeom>
                    <a:noFill/>
                    <a:ln>
                      <a:noFill/>
                    </a:ln>
                  </pic:spPr>
                </pic:pic>
              </a:graphicData>
            </a:graphic>
          </wp:inline>
        </w:drawing>
      </w:r>
    </w:p>
    <w:p>
      <w:pPr>
        <w:widowControl/>
        <w:jc w:val="center"/>
        <w:rPr>
          <w:rFonts w:ascii="仿宋_GB2312" w:eastAsia="仿宋_GB2312" w:hAnsi="Times New Roman"/>
          <w:kern w:val="0"/>
          <w:sz w:val="24"/>
          <w:szCs w:val="24"/>
          <w:highlight w:val="green"/>
        </w:rPr>
      </w:pPr>
    </w:p>
    <w:p>
      <w:pPr>
        <w:widowControl/>
        <w:ind w:firstLine="420" w:firstLineChars="200"/>
        <w:jc w:val="left"/>
        <w:rPr>
          <w:rFonts w:ascii="仿宋_GB2312" w:eastAsia="仿宋_GB2312" w:hAnsi="Times New Roman"/>
          <w:b/>
          <w:kern w:val="0"/>
          <w:sz w:val="24"/>
          <w:szCs w:val="24"/>
        </w:rPr>
      </w:pPr>
      <w:bookmarkStart w:id="10" w:name="_Hlk72257167"/>
      <w:r>
        <w:rPr>
          <w:rFonts w:ascii="仿宋_GB2312" w:eastAsia="仿宋_GB2312" w:hAnsi="Times New Roman" w:hint="eastAsia"/>
          <w:kern w:val="0"/>
          <w:sz w:val="24"/>
          <w:szCs w:val="24"/>
        </w:rPr>
        <w:t>采购代理机构公布投标文件正文（信息公开部分）时为计算机截取信息自动公布，</w:t>
      </w:r>
      <w:r>
        <w:rPr>
          <w:rFonts w:ascii="仿宋_GB2312" w:eastAsia="仿宋_GB2312" w:hAnsi="Times New Roman" w:hint="eastAsia"/>
          <w:b/>
          <w:bCs/>
          <w:kern w:val="0"/>
          <w:sz w:val="24"/>
          <w:szCs w:val="24"/>
        </w:rPr>
        <w:t>如投标人误将涉及个人隐私或其他重要信息放入投标文件正文，相关后果由投标人自负；</w:t>
      </w:r>
      <w:r>
        <w:rPr>
          <w:rFonts w:ascii="仿宋_GB2312" w:eastAsia="仿宋_GB2312" w:hAnsi="Times New Roman" w:hint="eastAsia"/>
          <w:b/>
          <w:kern w:val="0"/>
          <w:sz w:val="24"/>
          <w:szCs w:val="24"/>
        </w:rPr>
        <w:t>如投标人将必须放于投标文件正文（信息公开部分）的内容放入投标文件附件（信息不公开部分），将作投标无效处理。</w:t>
      </w:r>
    </w:p>
    <w:p>
      <w:pPr>
        <w:rPr>
          <w:rFonts w:ascii="仿宋_GB2312" w:eastAsia="仿宋_GB2312" w:hAnsi="Times New Roman"/>
          <w:sz w:val="24"/>
          <w:szCs w:val="24"/>
        </w:rPr>
      </w:pPr>
      <w:bookmarkEnd w:id="10"/>
    </w:p>
    <w:p>
      <w:pPr>
        <w:rPr>
          <w:rFonts w:ascii="宋体" w:hAnsi="宋体"/>
          <w:sz w:val="24"/>
        </w:rPr>
      </w:pPr>
      <w:r>
        <w:rPr>
          <w:rFonts w:ascii="宋体" w:hAnsi="宋体" w:hint="eastAsia"/>
          <w:sz w:val="24"/>
        </w:rPr>
        <w:t>投标文件组成：</w:t>
      </w:r>
    </w:p>
    <w:p>
      <w:pPr>
        <w:ind w:firstLine="424" w:firstLineChars="202"/>
        <w:rPr>
          <w:rFonts w:ascii="宋体" w:hAnsi="宋体"/>
          <w:sz w:val="24"/>
        </w:rPr>
      </w:pPr>
      <w:r>
        <w:rPr>
          <w:rFonts w:ascii="宋体" w:hAnsi="宋体" w:hint="eastAsia"/>
        </w:rPr>
        <w:t>1.</w:t>
      </w:r>
      <w:r>
        <w:rPr>
          <w:rFonts w:ascii="宋体" w:hAnsi="宋体" w:hint="eastAsia"/>
          <w:b/>
        </w:rPr>
        <w:t>投标文件正文</w:t>
      </w:r>
      <w:r>
        <w:rPr>
          <w:rFonts w:ascii="宋体" w:hAnsi="宋体" w:hint="eastAsia"/>
          <w:b/>
          <w:szCs w:val="21"/>
        </w:rPr>
        <w:t>（信息公开部分）</w:t>
      </w:r>
      <w:r>
        <w:rPr>
          <w:rFonts w:ascii="宋体" w:hAnsi="宋体" w:hint="eastAsia"/>
        </w:rPr>
        <w:t>，主要</w:t>
      </w:r>
      <w:r>
        <w:rPr>
          <w:rFonts w:ascii="宋体" w:hAnsi="宋体" w:hint="eastAsia"/>
          <w:szCs w:val="21"/>
        </w:rPr>
        <w:t>包括以下内容：</w:t>
      </w:r>
    </w:p>
    <w:p>
      <w:pPr>
        <w:spacing w:before="78" w:beforeLines="25" w:after="78" w:afterLines="25"/>
        <w:ind w:firstLine="991" w:firstLineChars="472"/>
        <w:rPr>
          <w:rFonts w:ascii="宋体" w:hAnsi="宋体"/>
          <w:szCs w:val="21"/>
        </w:rPr>
      </w:pPr>
      <w:r>
        <w:rPr>
          <w:rFonts w:ascii="宋体" w:hAnsi="宋体" w:hint="eastAsia"/>
          <w:szCs w:val="21"/>
        </w:rPr>
        <w:t>（1）投标函</w:t>
      </w:r>
    </w:p>
    <w:p>
      <w:pPr>
        <w:spacing w:before="78" w:beforeLines="25" w:after="78" w:afterLines="25"/>
        <w:ind w:firstLine="991" w:firstLineChars="472"/>
        <w:rPr>
          <w:rFonts w:ascii="宋体" w:hAnsi="宋体"/>
          <w:szCs w:val="21"/>
        </w:rPr>
      </w:pPr>
      <w:r>
        <w:rPr>
          <w:rFonts w:ascii="宋体" w:hAnsi="宋体" w:hint="eastAsia"/>
          <w:szCs w:val="21"/>
        </w:rPr>
        <w:t>（2）资格响应文件</w:t>
      </w:r>
    </w:p>
    <w:p>
      <w:pPr>
        <w:spacing w:before="78" w:beforeLines="25" w:after="78" w:afterLines="25"/>
        <w:ind w:firstLine="991" w:firstLineChars="472"/>
        <w:rPr>
          <w:rFonts w:ascii="宋体" w:hAnsi="宋体"/>
          <w:szCs w:val="21"/>
        </w:rPr>
      </w:pPr>
      <w:r>
        <w:rPr>
          <w:rFonts w:ascii="宋体" w:hAnsi="宋体" w:hint="eastAsia"/>
          <w:szCs w:val="21"/>
        </w:rPr>
        <w:t>（3）投标人情况介绍</w:t>
      </w:r>
    </w:p>
    <w:p>
      <w:pPr>
        <w:spacing w:before="78" w:beforeLines="25" w:after="78" w:afterLines="25"/>
        <w:ind w:firstLine="991" w:firstLineChars="472"/>
        <w:rPr>
          <w:rFonts w:ascii="宋体" w:hAnsi="宋体"/>
          <w:szCs w:val="21"/>
        </w:rPr>
      </w:pPr>
      <w:r>
        <w:rPr>
          <w:rFonts w:ascii="宋体" w:hAnsi="宋体" w:hint="eastAsia"/>
          <w:szCs w:val="21"/>
        </w:rPr>
        <w:t>（4）中小企业声明函等符合政府采购扶持政策的证明材料</w:t>
      </w:r>
    </w:p>
    <w:p>
      <w:pPr>
        <w:rPr>
          <w:rFonts w:ascii="宋体" w:hAnsi="宋体"/>
          <w:sz w:val="24"/>
          <w:szCs w:val="24"/>
        </w:rPr>
      </w:pPr>
    </w:p>
    <w:p>
      <w:pPr>
        <w:ind w:firstLine="424" w:firstLineChars="202"/>
        <w:rPr>
          <w:rFonts w:ascii="宋体" w:hAnsi="宋体"/>
          <w:szCs w:val="21"/>
        </w:rPr>
      </w:pPr>
    </w:p>
    <w:p>
      <w:pPr>
        <w:ind w:firstLine="424" w:firstLineChars="202"/>
        <w:rPr>
          <w:rFonts w:ascii="宋体" w:hAnsi="宋体"/>
          <w:szCs w:val="21"/>
        </w:rPr>
      </w:pPr>
      <w:r>
        <w:rPr>
          <w:rFonts w:ascii="宋体" w:hAnsi="宋体" w:hint="eastAsia"/>
          <w:szCs w:val="21"/>
        </w:rPr>
        <w:t>2.</w:t>
      </w:r>
      <w:r>
        <w:rPr>
          <w:rFonts w:ascii="宋体" w:hAnsi="宋体" w:hint="eastAsia"/>
          <w:b/>
          <w:szCs w:val="21"/>
        </w:rPr>
        <w:t>投标文件附件（信息不公开部分）</w:t>
      </w:r>
      <w:r>
        <w:rPr>
          <w:rFonts w:ascii="宋体" w:hAnsi="宋体" w:hint="eastAsia"/>
          <w:szCs w:val="21"/>
        </w:rPr>
        <w:t>，主要包括以下内容：</w:t>
      </w:r>
    </w:p>
    <w:p>
      <w:pPr>
        <w:spacing w:before="78" w:beforeLines="25" w:after="78" w:afterLines="25"/>
        <w:ind w:firstLine="991" w:firstLineChars="472"/>
        <w:rPr>
          <w:rFonts w:ascii="宋体" w:hAnsi="宋体"/>
          <w:szCs w:val="21"/>
        </w:rPr>
      </w:pPr>
      <w:r>
        <w:rPr>
          <w:rFonts w:ascii="宋体" w:hAnsi="宋体" w:hint="eastAsia"/>
          <w:szCs w:val="21"/>
        </w:rPr>
        <w:t>（5）政府采购违法行为风险知悉确认书</w:t>
      </w:r>
    </w:p>
    <w:p>
      <w:pPr>
        <w:spacing w:before="78" w:beforeLines="25" w:after="78" w:afterLines="25"/>
        <w:ind w:firstLine="991" w:firstLineChars="472"/>
        <w:rPr>
          <w:rFonts w:ascii="宋体" w:hAnsi="宋体"/>
          <w:szCs w:val="21"/>
        </w:rPr>
      </w:pPr>
      <w:r>
        <w:rPr>
          <w:rFonts w:ascii="宋体" w:hAnsi="宋体" w:hint="eastAsia"/>
          <w:szCs w:val="21"/>
        </w:rPr>
        <w:t>（6）法定代表人（负责人）资格证明书</w:t>
      </w:r>
    </w:p>
    <w:p>
      <w:pPr>
        <w:spacing w:before="78" w:beforeLines="25" w:after="78" w:afterLines="25"/>
        <w:ind w:firstLine="991" w:firstLineChars="472"/>
        <w:rPr>
          <w:rFonts w:ascii="宋体" w:hAnsi="宋体"/>
          <w:szCs w:val="21"/>
        </w:rPr>
      </w:pPr>
      <w:r>
        <w:rPr>
          <w:rFonts w:ascii="宋体" w:hAnsi="宋体" w:hint="eastAsia"/>
          <w:szCs w:val="21"/>
        </w:rPr>
        <w:t>（7）投标文件签署授权委托书</w:t>
      </w:r>
    </w:p>
    <w:p>
      <w:pPr>
        <w:spacing w:before="78" w:beforeLines="25" w:after="78" w:afterLines="25"/>
        <w:ind w:firstLine="991" w:firstLineChars="472"/>
        <w:rPr>
          <w:rFonts w:ascii="宋体" w:hAnsi="宋体"/>
          <w:szCs w:val="21"/>
        </w:rPr>
      </w:pPr>
      <w:r>
        <w:rPr>
          <w:rFonts w:ascii="宋体" w:hAnsi="宋体" w:hint="eastAsia"/>
          <w:szCs w:val="21"/>
        </w:rPr>
        <w:t>（8）实质性条款响应情况表</w:t>
      </w:r>
    </w:p>
    <w:p>
      <w:pPr>
        <w:spacing w:before="78" w:beforeLines="25" w:after="78" w:afterLines="25"/>
        <w:ind w:firstLine="991" w:firstLineChars="472"/>
        <w:rPr>
          <w:rFonts w:ascii="宋体" w:hAnsi="宋体"/>
          <w:szCs w:val="21"/>
        </w:rPr>
      </w:pPr>
      <w:r>
        <w:rPr>
          <w:rFonts w:ascii="宋体" w:hAnsi="宋体" w:hint="eastAsia"/>
          <w:szCs w:val="21"/>
        </w:rPr>
        <w:t>（9）详细分项报价清单</w:t>
      </w:r>
    </w:p>
    <w:p>
      <w:pPr>
        <w:spacing w:before="78" w:beforeLines="25" w:after="78" w:afterLines="25"/>
        <w:ind w:firstLine="991" w:firstLineChars="472"/>
        <w:rPr>
          <w:rFonts w:ascii="宋体" w:hAnsi="宋体"/>
          <w:szCs w:val="21"/>
        </w:rPr>
      </w:pPr>
      <w:r>
        <w:rPr>
          <w:rFonts w:ascii="宋体" w:hAnsi="宋体" w:hint="eastAsia"/>
          <w:szCs w:val="21"/>
        </w:rPr>
        <w:t>（10）服务要求</w:t>
      </w:r>
      <w:r>
        <w:rPr>
          <w:rFonts w:ascii="宋体" w:hAnsi="宋体"/>
          <w:szCs w:val="21"/>
        </w:rPr>
        <w:t>偏离表</w:t>
      </w:r>
    </w:p>
    <w:p>
      <w:pPr>
        <w:spacing w:before="78" w:beforeLines="25" w:after="78" w:afterLines="25"/>
        <w:ind w:firstLine="991" w:firstLineChars="472"/>
        <w:rPr>
          <w:rFonts w:ascii="宋体" w:hAnsi="宋体"/>
          <w:szCs w:val="21"/>
        </w:rPr>
      </w:pPr>
      <w:r>
        <w:rPr>
          <w:rFonts w:ascii="宋体" w:hAnsi="宋体" w:hint="eastAsia"/>
          <w:szCs w:val="21"/>
        </w:rPr>
        <w:t>（11）</w:t>
      </w:r>
      <w:r>
        <w:rPr>
          <w:rFonts w:ascii="宋体" w:hAnsi="宋体"/>
          <w:szCs w:val="21"/>
        </w:rPr>
        <w:t>商务</w:t>
      </w:r>
      <w:r>
        <w:rPr>
          <w:rFonts w:ascii="宋体" w:hAnsi="宋体" w:hint="eastAsia"/>
          <w:szCs w:val="21"/>
        </w:rPr>
        <w:t>要求</w:t>
      </w:r>
      <w:r>
        <w:rPr>
          <w:rFonts w:ascii="宋体" w:hAnsi="宋体"/>
          <w:szCs w:val="21"/>
        </w:rPr>
        <w:t>偏离表</w:t>
      </w:r>
    </w:p>
    <w:p>
      <w:pPr>
        <w:spacing w:before="78" w:beforeLines="25" w:after="78" w:afterLines="25"/>
        <w:ind w:firstLine="991" w:firstLineChars="472"/>
        <w:rPr>
          <w:rFonts w:ascii="宋体" w:hAnsi="宋体" w:hint="eastAsia"/>
          <w:szCs w:val="21"/>
        </w:rPr>
      </w:pPr>
      <w:r>
        <w:rPr>
          <w:rFonts w:ascii="宋体" w:hAnsi="宋体" w:hint="eastAsia"/>
          <w:szCs w:val="21"/>
        </w:rPr>
        <w:t>（12）实施方案情况</w:t>
      </w:r>
    </w:p>
    <w:p>
      <w:pPr>
        <w:spacing w:before="78" w:beforeLines="25" w:after="78" w:afterLines="25"/>
        <w:ind w:firstLine="991" w:firstLineChars="472"/>
        <w:rPr>
          <w:rFonts w:asciiTheme="minorEastAsia" w:eastAsiaTheme="minorEastAsia" w:hAnsiTheme="minorEastAsia" w:cs="宋体" w:hint="eastAsia"/>
          <w:szCs w:val="21"/>
        </w:rPr>
      </w:pPr>
      <w:r>
        <w:rPr>
          <w:rFonts w:ascii="宋体" w:hAnsi="宋体" w:hint="eastAsia"/>
          <w:szCs w:val="21"/>
          <w:lang w:eastAsia="zh-CN"/>
        </w:rPr>
        <w:t>（</w:t>
      </w:r>
      <w:r>
        <w:rPr>
          <w:rFonts w:ascii="宋体" w:hAnsi="宋体" w:hint="eastAsia"/>
          <w:szCs w:val="21"/>
          <w:lang w:val="en-US" w:eastAsia="zh-CN"/>
        </w:rPr>
        <w:t>13</w:t>
      </w:r>
      <w:r>
        <w:rPr>
          <w:rFonts w:ascii="宋体" w:hAnsi="宋体" w:hint="eastAsia"/>
          <w:szCs w:val="21"/>
          <w:lang w:eastAsia="zh-CN"/>
        </w:rPr>
        <w:t>）</w:t>
      </w:r>
      <w:r>
        <w:rPr>
          <w:rFonts w:asciiTheme="minorEastAsia" w:eastAsiaTheme="minorEastAsia" w:hAnsiTheme="minorEastAsia" w:cs="宋体" w:hint="eastAsia"/>
          <w:szCs w:val="21"/>
        </w:rPr>
        <w:t>质量保障措施</w:t>
      </w:r>
    </w:p>
    <w:p>
      <w:pPr>
        <w:spacing w:before="78" w:beforeLines="25" w:after="78" w:afterLines="25"/>
        <w:ind w:firstLine="991" w:firstLineChars="472"/>
        <w:rPr>
          <w:rFonts w:asciiTheme="minorEastAsia" w:eastAsiaTheme="minorEastAsia" w:hAnsiTheme="minorEastAsia" w:cs="宋体" w:hint="eastAsia"/>
          <w:szCs w:val="21"/>
        </w:rPr>
      </w:pPr>
      <w:r>
        <w:rPr>
          <w:rFonts w:asciiTheme="minorEastAsia" w:eastAsiaTheme="minorEastAsia" w:hAnsiTheme="minorEastAsia" w:cs="宋体" w:hint="eastAsia"/>
          <w:szCs w:val="21"/>
          <w:lang w:eastAsia="zh-CN"/>
        </w:rPr>
        <w:t>（</w:t>
      </w:r>
      <w:r>
        <w:rPr>
          <w:rFonts w:asciiTheme="minorEastAsia" w:eastAsiaTheme="minorEastAsia" w:hAnsiTheme="minorEastAsia" w:cs="宋体" w:hint="eastAsia"/>
          <w:szCs w:val="21"/>
          <w:lang w:val="en-US" w:eastAsia="zh-CN"/>
        </w:rPr>
        <w:t>14</w:t>
      </w:r>
      <w:r>
        <w:rPr>
          <w:rFonts w:asciiTheme="minorEastAsia" w:eastAsiaTheme="minorEastAsia" w:hAnsiTheme="minorEastAsia" w:cs="宋体" w:hint="eastAsia"/>
          <w:szCs w:val="21"/>
          <w:lang w:eastAsia="zh-CN"/>
        </w:rPr>
        <w:t>）</w:t>
      </w:r>
      <w:r>
        <w:rPr>
          <w:rFonts w:asciiTheme="minorEastAsia" w:eastAsiaTheme="minorEastAsia" w:hAnsiTheme="minorEastAsia" w:cs="宋体" w:hint="eastAsia"/>
          <w:szCs w:val="21"/>
        </w:rPr>
        <w:t>项目完成（服务期满）后的服务承诺</w:t>
      </w:r>
    </w:p>
    <w:p>
      <w:pPr>
        <w:spacing w:before="78" w:beforeLines="25" w:after="78" w:afterLines="25"/>
        <w:ind w:firstLine="991" w:firstLineChars="472"/>
        <w:rPr>
          <w:rFonts w:asciiTheme="minorEastAsia" w:eastAsiaTheme="minorEastAsia" w:hAnsiTheme="minorEastAsia" w:cs="宋体" w:hint="eastAsia"/>
          <w:szCs w:val="21"/>
        </w:rPr>
      </w:pPr>
      <w:r>
        <w:rPr>
          <w:rFonts w:asciiTheme="minorEastAsia" w:eastAsiaTheme="minorEastAsia" w:hAnsiTheme="minorEastAsia" w:cs="宋体" w:hint="eastAsia"/>
          <w:szCs w:val="21"/>
          <w:lang w:eastAsia="zh-CN"/>
        </w:rPr>
        <w:t>（</w:t>
      </w:r>
      <w:r>
        <w:rPr>
          <w:rFonts w:asciiTheme="minorEastAsia" w:eastAsiaTheme="minorEastAsia" w:hAnsiTheme="minorEastAsia" w:cs="宋体" w:hint="eastAsia"/>
          <w:szCs w:val="21"/>
          <w:lang w:val="en-US" w:eastAsia="zh-CN"/>
        </w:rPr>
        <w:t>15</w:t>
      </w:r>
      <w:r>
        <w:rPr>
          <w:rFonts w:asciiTheme="minorEastAsia" w:eastAsiaTheme="minorEastAsia" w:hAnsiTheme="minorEastAsia" w:cs="宋体" w:hint="eastAsia"/>
          <w:szCs w:val="21"/>
          <w:lang w:eastAsia="zh-CN"/>
        </w:rPr>
        <w:t>）</w:t>
      </w:r>
      <w:r>
        <w:rPr>
          <w:rFonts w:asciiTheme="minorEastAsia" w:eastAsiaTheme="minorEastAsia" w:hAnsiTheme="minorEastAsia" w:cs="宋体" w:hint="eastAsia"/>
          <w:szCs w:val="21"/>
        </w:rPr>
        <w:t>投标人运维实力和为本项目提供服务的系统具备的信息安全等级</w:t>
      </w:r>
    </w:p>
    <w:p>
      <w:pPr>
        <w:spacing w:before="78" w:beforeLines="25" w:after="78" w:afterLines="25"/>
        <w:ind w:firstLine="991" w:firstLineChars="472"/>
        <w:rPr>
          <w:rFonts w:asciiTheme="minorEastAsia" w:eastAsiaTheme="minorEastAsia" w:hAnsiTheme="minorEastAsia" w:cs="宋体" w:hint="eastAsia"/>
          <w:szCs w:val="21"/>
        </w:rPr>
      </w:pPr>
      <w:r>
        <w:rPr>
          <w:rFonts w:asciiTheme="minorEastAsia" w:eastAsiaTheme="minorEastAsia" w:hAnsiTheme="minorEastAsia" w:cs="宋体" w:hint="eastAsia"/>
          <w:szCs w:val="21"/>
          <w:lang w:eastAsia="zh-CN"/>
        </w:rPr>
        <w:t>（</w:t>
      </w:r>
      <w:r>
        <w:rPr>
          <w:rFonts w:asciiTheme="minorEastAsia" w:eastAsiaTheme="minorEastAsia" w:hAnsiTheme="minorEastAsia" w:cs="宋体" w:hint="eastAsia"/>
          <w:szCs w:val="21"/>
          <w:lang w:val="en-US" w:eastAsia="zh-CN"/>
        </w:rPr>
        <w:t>16</w:t>
      </w:r>
      <w:r>
        <w:rPr>
          <w:rFonts w:asciiTheme="minorEastAsia" w:eastAsiaTheme="minorEastAsia" w:hAnsiTheme="minorEastAsia" w:cs="宋体" w:hint="eastAsia"/>
          <w:szCs w:val="21"/>
          <w:lang w:eastAsia="zh-CN"/>
        </w:rPr>
        <w:t>）</w:t>
      </w:r>
      <w:r>
        <w:rPr>
          <w:rFonts w:asciiTheme="minorEastAsia" w:eastAsiaTheme="minorEastAsia" w:hAnsiTheme="minorEastAsia" w:cs="宋体" w:hint="eastAsia"/>
          <w:szCs w:val="21"/>
        </w:rPr>
        <w:t>拟安排的项目负责人情况（仅限一人）</w:t>
      </w:r>
    </w:p>
    <w:p>
      <w:pPr>
        <w:spacing w:before="78" w:beforeLines="25" w:after="78" w:afterLines="25"/>
        <w:ind w:firstLine="991" w:firstLineChars="472"/>
        <w:rPr>
          <w:rFonts w:asciiTheme="minorEastAsia" w:eastAsiaTheme="minorEastAsia" w:hAnsiTheme="minorEastAsia" w:hint="eastAsia"/>
          <w:szCs w:val="21"/>
        </w:rPr>
      </w:pPr>
      <w:r>
        <w:rPr>
          <w:rFonts w:asciiTheme="minorEastAsia" w:eastAsiaTheme="minorEastAsia" w:hAnsiTheme="minorEastAsia" w:hint="eastAsia"/>
          <w:szCs w:val="21"/>
          <w:lang w:eastAsia="zh-CN"/>
        </w:rPr>
        <w:t>（</w:t>
      </w:r>
      <w:r>
        <w:rPr>
          <w:rFonts w:asciiTheme="minorEastAsia" w:eastAsiaTheme="minorEastAsia" w:hAnsiTheme="minorEastAsia" w:hint="eastAsia"/>
          <w:szCs w:val="21"/>
          <w:lang w:val="en-US" w:eastAsia="zh-CN"/>
        </w:rPr>
        <w:t>17</w:t>
      </w:r>
      <w:r>
        <w:rPr>
          <w:rFonts w:asciiTheme="minorEastAsia" w:eastAsiaTheme="minorEastAsia" w:hAnsiTheme="minorEastAsia" w:hint="eastAsia"/>
          <w:szCs w:val="21"/>
          <w:lang w:eastAsia="zh-CN"/>
        </w:rPr>
        <w:t>）</w:t>
      </w:r>
      <w:r>
        <w:rPr>
          <w:rFonts w:asciiTheme="minorEastAsia" w:eastAsiaTheme="minorEastAsia" w:hAnsiTheme="minorEastAsia" w:hint="eastAsia"/>
          <w:szCs w:val="21"/>
        </w:rPr>
        <w:t>拟安排的项目主要团队成员（主要技术人员）情况（项目负责人除外）</w:t>
      </w:r>
    </w:p>
    <w:p>
      <w:pPr>
        <w:spacing w:before="78" w:beforeLines="25" w:after="78" w:afterLines="25"/>
        <w:ind w:firstLine="991" w:firstLineChars="472"/>
        <w:rPr>
          <w:rFonts w:asciiTheme="minorEastAsia" w:eastAsiaTheme="minorEastAsia" w:hAnsiTheme="minorEastAsia" w:cs="宋体" w:hint="eastAsia"/>
          <w:szCs w:val="21"/>
        </w:rPr>
      </w:pPr>
      <w:r>
        <w:rPr>
          <w:rFonts w:asciiTheme="minorEastAsia" w:eastAsiaTheme="minorEastAsia" w:hAnsiTheme="minorEastAsia" w:cs="宋体" w:hint="eastAsia"/>
          <w:szCs w:val="21"/>
          <w:lang w:eastAsia="zh-CN"/>
        </w:rPr>
        <w:t>（</w:t>
      </w:r>
      <w:r>
        <w:rPr>
          <w:rFonts w:asciiTheme="minorEastAsia" w:eastAsiaTheme="minorEastAsia" w:hAnsiTheme="minorEastAsia" w:cs="宋体" w:hint="eastAsia"/>
          <w:szCs w:val="21"/>
          <w:lang w:val="en-US" w:eastAsia="zh-CN"/>
        </w:rPr>
        <w:t>18</w:t>
      </w:r>
      <w:r>
        <w:rPr>
          <w:rFonts w:asciiTheme="minorEastAsia" w:eastAsiaTheme="minorEastAsia" w:hAnsiTheme="minorEastAsia" w:cs="宋体" w:hint="eastAsia"/>
          <w:szCs w:val="21"/>
          <w:lang w:eastAsia="zh-CN"/>
        </w:rPr>
        <w:t>）</w:t>
      </w:r>
      <w:r>
        <w:rPr>
          <w:rFonts w:asciiTheme="minorEastAsia" w:eastAsiaTheme="minorEastAsia" w:hAnsiTheme="minorEastAsia" w:cs="宋体" w:hint="eastAsia"/>
          <w:szCs w:val="21"/>
        </w:rPr>
        <w:t>投标人认证情况</w:t>
      </w:r>
    </w:p>
    <w:p>
      <w:pPr>
        <w:spacing w:before="78" w:beforeLines="25" w:after="78" w:afterLines="25"/>
        <w:ind w:firstLine="991" w:firstLineChars="472"/>
        <w:rPr>
          <w:rFonts w:asciiTheme="minorEastAsia" w:eastAsiaTheme="minorEastAsia" w:hAnsiTheme="minorEastAsia" w:hint="eastAsia"/>
          <w:szCs w:val="21"/>
          <w:lang w:eastAsia="zh-CN"/>
        </w:rPr>
      </w:pPr>
      <w:r>
        <w:rPr>
          <w:rFonts w:ascii="宋体" w:hAnsi="宋体" w:hint="eastAsia"/>
          <w:szCs w:val="21"/>
        </w:rPr>
        <w:t>（</w:t>
      </w:r>
      <w:r>
        <w:rPr>
          <w:rFonts w:ascii="宋体" w:hAnsi="宋体" w:hint="eastAsia"/>
          <w:szCs w:val="21"/>
          <w:lang w:val="en-US" w:eastAsia="zh-CN"/>
        </w:rPr>
        <w:t>19</w:t>
      </w:r>
      <w:r>
        <w:rPr>
          <w:rFonts w:ascii="宋体" w:hAnsi="宋体" w:hint="eastAsia"/>
          <w:szCs w:val="21"/>
        </w:rPr>
        <w:t>）</w:t>
      </w:r>
      <w:r>
        <w:rPr>
          <w:rFonts w:asciiTheme="minorEastAsia" w:eastAsiaTheme="minorEastAsia" w:hAnsiTheme="minorEastAsia" w:cs="宋体" w:hint="eastAsia"/>
          <w:szCs w:val="21"/>
        </w:rPr>
        <w:t>同类项目业绩</w:t>
      </w:r>
    </w:p>
    <w:p>
      <w:pPr>
        <w:spacing w:before="78" w:beforeLines="25" w:after="78" w:afterLines="25"/>
        <w:ind w:firstLine="991" w:firstLineChars="472"/>
        <w:rPr>
          <w:rFonts w:ascii="宋体" w:hAnsi="宋体"/>
          <w:szCs w:val="21"/>
        </w:rPr>
      </w:pPr>
      <w:r>
        <w:rPr>
          <w:rFonts w:ascii="宋体" w:hAnsi="宋体" w:hint="eastAsia"/>
          <w:szCs w:val="21"/>
        </w:rPr>
        <w:t>（</w:t>
      </w:r>
      <w:r>
        <w:rPr>
          <w:rFonts w:ascii="宋体" w:hAnsi="宋体" w:hint="eastAsia"/>
          <w:szCs w:val="21"/>
          <w:lang w:val="en-US" w:eastAsia="zh-CN"/>
        </w:rPr>
        <w:t>20</w:t>
      </w:r>
      <w:r>
        <w:rPr>
          <w:rFonts w:ascii="宋体" w:hAnsi="宋体" w:hint="eastAsia"/>
          <w:szCs w:val="21"/>
        </w:rPr>
        <w:t>）招标文件要求的其它内容或投标人认为需要补充的资料</w:t>
      </w:r>
    </w:p>
    <w:p>
      <w:pPr>
        <w:spacing w:before="78" w:beforeLines="25" w:after="78" w:afterLines="25"/>
        <w:rPr>
          <w:rFonts w:ascii="宋体" w:hAnsi="宋体"/>
          <w:szCs w:val="21"/>
        </w:rPr>
      </w:pPr>
    </w:p>
    <w:p>
      <w:pPr>
        <w:widowControl/>
        <w:ind w:firstLine="424" w:firstLineChars="202"/>
        <w:jc w:val="left"/>
        <w:rPr>
          <w:rFonts w:ascii="宋体" w:hAnsi="宋体" w:eastAsiaTheme="minorEastAsia"/>
          <w:b/>
          <w:kern w:val="0"/>
          <w:sz w:val="24"/>
          <w:szCs w:val="21"/>
        </w:rPr>
      </w:pPr>
      <w:r>
        <w:rPr>
          <w:rFonts w:ascii="宋体" w:hAnsi="宋体" w:eastAsiaTheme="minorEastAsia" w:hint="eastAsia"/>
          <w:b/>
          <w:kern w:val="0"/>
          <w:sz w:val="24"/>
          <w:szCs w:val="21"/>
        </w:rPr>
        <w:t>备注：</w:t>
      </w:r>
    </w:p>
    <w:p>
      <w:pPr>
        <w:widowControl/>
        <w:ind w:firstLine="424" w:firstLineChars="202"/>
        <w:jc w:val="left"/>
        <w:rPr>
          <w:rFonts w:ascii="宋体" w:hAnsi="宋体" w:eastAsiaTheme="minorEastAsia"/>
          <w:b/>
          <w:kern w:val="0"/>
          <w:sz w:val="24"/>
          <w:szCs w:val="21"/>
        </w:rPr>
      </w:pPr>
      <w:r>
        <w:rPr>
          <w:rFonts w:ascii="宋体" w:hAnsi="宋体" w:eastAsiaTheme="minorEastAsia" w:hint="eastAsia"/>
          <w:b/>
          <w:kern w:val="0"/>
          <w:sz w:val="24"/>
          <w:szCs w:val="21"/>
        </w:rPr>
        <w:t>1.本项目为网上电子投标项目，投标文件不需法人或授权委托人另行签字，无需加盖单位公章，招标文件专用条款另有规定的除外。</w:t>
      </w:r>
    </w:p>
    <w:p>
      <w:pPr>
        <w:widowControl/>
        <w:ind w:firstLine="424" w:firstLineChars="202"/>
        <w:jc w:val="left"/>
        <w:rPr>
          <w:rFonts w:ascii="宋体" w:hAnsi="宋体" w:eastAsiaTheme="minorEastAsia"/>
          <w:b/>
          <w:kern w:val="0"/>
          <w:sz w:val="24"/>
          <w:szCs w:val="21"/>
        </w:rPr>
      </w:pPr>
      <w:r>
        <w:rPr>
          <w:rFonts w:ascii="宋体" w:hAnsi="宋体" w:eastAsiaTheme="minorEastAsia" w:hint="eastAsia"/>
          <w:b/>
          <w:kern w:val="0"/>
          <w:sz w:val="24"/>
          <w:szCs w:val="21"/>
        </w:rPr>
        <w:t>2.关于填写“开标一览表”的说明：“开标一览表”中除“投标报价”外，其他信息不作为评审依据。</w:t>
      </w:r>
    </w:p>
    <w:p>
      <w:pPr>
        <w:widowControl/>
        <w:jc w:val="left"/>
        <w:rPr>
          <w:rFonts w:ascii="宋体" w:hAnsi="宋体"/>
          <w:szCs w:val="21"/>
        </w:rPr>
      </w:pPr>
      <w:r>
        <w:rPr>
          <w:rFonts w:ascii="宋体" w:hAnsi="宋体"/>
          <w:szCs w:val="21"/>
        </w:rPr>
        <w:br w:type="page"/>
      </w:r>
    </w:p>
    <w:p>
      <w:pPr>
        <w:rPr>
          <w:rFonts w:ascii="仿宋_GB2312" w:eastAsia="仿宋_GB2312" w:hAnsi="Times New Roman"/>
          <w:b/>
          <w:color w:val="FF0000"/>
          <w:sz w:val="30"/>
          <w:szCs w:val="30"/>
        </w:rPr>
      </w:pPr>
      <w:r>
        <w:rPr>
          <w:rFonts w:ascii="仿宋_GB2312" w:eastAsia="仿宋_GB2312" w:hAnsi="Times New Roman" w:hint="eastAsia"/>
          <w:b/>
          <w:color w:val="FF0000"/>
          <w:sz w:val="30"/>
          <w:szCs w:val="30"/>
        </w:rPr>
        <w:t>投标文件正文（信息公开部分）：</w:t>
      </w:r>
    </w:p>
    <w:p>
      <w:pPr>
        <w:pStyle w:val="Heading3"/>
        <w:jc w:val="center"/>
        <w:rPr>
          <w:rFonts w:ascii="黑体" w:eastAsia="黑体"/>
          <w:b w:val="0"/>
          <w:sz w:val="24"/>
        </w:rPr>
      </w:pPr>
      <w:r>
        <w:rPr>
          <w:rFonts w:ascii="黑体" w:eastAsia="黑体" w:hint="eastAsia"/>
          <w:b w:val="0"/>
          <w:sz w:val="24"/>
        </w:rPr>
        <w:t>一、投标函</w:t>
      </w:r>
    </w:p>
    <w:p>
      <w:pPr>
        <w:spacing w:line="360" w:lineRule="auto"/>
        <w:rPr>
          <w:rFonts w:ascii="宋体" w:hAnsi="宋体"/>
          <w:szCs w:val="21"/>
        </w:rPr>
      </w:pPr>
      <w:r>
        <w:rPr>
          <w:rFonts w:ascii="宋体" w:hAnsi="宋体" w:hint="eastAsia"/>
          <w:szCs w:val="21"/>
        </w:rPr>
        <w:t xml:space="preserve">深圳市中正招标有限公司：  </w:t>
      </w:r>
    </w:p>
    <w:p>
      <w:pPr>
        <w:spacing w:after="156" w:afterLines="50"/>
        <w:ind w:firstLine="420" w:firstLineChars="200"/>
        <w:rPr>
          <w:szCs w:val="21"/>
        </w:rPr>
      </w:pPr>
      <w:r>
        <w:rPr>
          <w:rFonts w:hint="eastAsia"/>
          <w:szCs w:val="21"/>
        </w:rPr>
        <w:t>1.根据已收到贵方的（项目编号为</w:t>
      </w:r>
      <w:r>
        <w:rPr>
          <w:rFonts w:hint="eastAsia"/>
          <w:szCs w:val="21"/>
          <w:u w:val="single"/>
        </w:rPr>
        <w:t xml:space="preserve">                   </w:t>
      </w:r>
      <w:r>
        <w:rPr>
          <w:rFonts w:hint="eastAsia"/>
          <w:szCs w:val="21"/>
        </w:rPr>
        <w:t>）的（</w:t>
      </w:r>
      <w:r>
        <w:rPr>
          <w:rFonts w:hint="eastAsia"/>
          <w:szCs w:val="21"/>
          <w:u w:val="single"/>
        </w:rPr>
        <w:t xml:space="preserve">                   </w:t>
      </w:r>
      <w:r>
        <w:rPr>
          <w:rFonts w:hint="eastAsia"/>
          <w:szCs w:val="21"/>
        </w:rPr>
        <w:t>项目）的招标文件，遵照《深圳经济特区政府采购条例》和《深圳网上政府采购管理暂行办法》等有关规定，我方经研究上述招标文件的专用条款及通用条款后，愿以投标书编制软件中《开标一览表》中填写的投标报价并按招标文件要求承包上述项目并修补其任何缺陷。</w:t>
      </w:r>
    </w:p>
    <w:p>
      <w:pPr>
        <w:spacing w:after="156" w:afterLines="50"/>
        <w:ind w:firstLine="420" w:firstLineChars="200"/>
        <w:rPr>
          <w:szCs w:val="21"/>
        </w:rPr>
      </w:pPr>
      <w:r>
        <w:rPr>
          <w:szCs w:val="21"/>
        </w:rPr>
        <w:t>2</w:t>
      </w:r>
      <w:r>
        <w:rPr>
          <w:rFonts w:hint="eastAsia"/>
          <w:szCs w:val="21"/>
        </w:rPr>
        <w:t>.我方已认真核实了投标文件的全部资料，所有资料均为真实资料。我方对投标文件中全部投标资料的真实性负责，如被证实我方的投标文件中存在虚假资料的，则视为我方隐瞒真实情况、提供虚假资料，我方愿意接受主管部门作出的行政处罚。</w:t>
      </w:r>
    </w:p>
    <w:p>
      <w:pPr>
        <w:spacing w:after="156" w:afterLines="50"/>
        <w:ind w:firstLine="412" w:firstLineChars="196"/>
        <w:rPr>
          <w:rFonts w:ascii="宋体" w:hAnsi="宋体"/>
          <w:szCs w:val="21"/>
        </w:rPr>
      </w:pPr>
      <w:r>
        <w:rPr>
          <w:rFonts w:ascii="宋体" w:hAnsi="宋体" w:hint="eastAsia"/>
          <w:szCs w:val="21"/>
        </w:rPr>
        <w:t>3.我方同意所递交的投标文件在“对通用条款的补充内容”中的投标有效期内有效，在此期间内我方的投标有可能中标，我方将受此约束。</w:t>
      </w:r>
    </w:p>
    <w:p>
      <w:pPr>
        <w:spacing w:after="156" w:afterLines="50"/>
        <w:ind w:firstLine="412" w:firstLineChars="196"/>
        <w:rPr>
          <w:rFonts w:ascii="宋体" w:hAnsi="宋体"/>
          <w:szCs w:val="21"/>
        </w:rPr>
      </w:pPr>
      <w:r>
        <w:rPr>
          <w:rFonts w:ascii="宋体" w:hAnsi="宋体" w:hint="eastAsia"/>
          <w:szCs w:val="21"/>
        </w:rPr>
        <w:t>4.除非另外达成协议并生效，贵方的中标通知书和本投标文件将构成约束我们双方的合同。</w:t>
      </w:r>
    </w:p>
    <w:p>
      <w:pPr>
        <w:spacing w:after="156" w:afterLines="50"/>
        <w:ind w:firstLine="412" w:firstLineChars="196"/>
        <w:rPr>
          <w:rFonts w:ascii="宋体" w:hAnsi="宋体"/>
          <w:szCs w:val="21"/>
        </w:rPr>
      </w:pPr>
      <w:r>
        <w:rPr>
          <w:rFonts w:ascii="宋体" w:hAnsi="宋体" w:hint="eastAsia"/>
          <w:szCs w:val="21"/>
        </w:rPr>
        <w:t>5.我方理解贵方将不受必须接受你们所收到的最低标价或其它任何投标文件的约束。</w:t>
      </w:r>
    </w:p>
    <w:p>
      <w:pPr>
        <w:spacing w:after="156" w:afterLines="50"/>
        <w:ind w:firstLine="412" w:firstLineChars="196"/>
        <w:rPr>
          <w:rFonts w:ascii="宋体" w:hAnsi="宋体"/>
          <w:szCs w:val="21"/>
        </w:rPr>
      </w:pPr>
      <w:r>
        <w:rPr>
          <w:rFonts w:ascii="宋体" w:hAnsi="宋体" w:hint="eastAsia"/>
          <w:szCs w:val="21"/>
        </w:rPr>
        <w:t>6.</w:t>
      </w:r>
      <w:r>
        <w:rPr>
          <w:rFonts w:asciiTheme="minorEastAsia" w:eastAsiaTheme="minorEastAsia" w:hAnsiTheme="minorEastAsia" w:hint="eastAsia"/>
        </w:rPr>
        <w:t>我单位承诺在收到代理服务费缴费通知后7个工作日内领取中标（成交）通知书，逾期将视为我单位放弃中标（成交）资格。</w:t>
      </w:r>
    </w:p>
    <w:p>
      <w:pPr>
        <w:ind w:left="540" w:leftChars="257"/>
        <w:rPr>
          <w:szCs w:val="21"/>
          <w:u w:val="single"/>
        </w:rPr>
      </w:pPr>
      <w:r>
        <w:rPr>
          <w:rFonts w:hint="eastAsia"/>
          <w:szCs w:val="21"/>
        </w:rPr>
        <w:t>投标人：</w:t>
      </w:r>
      <w:r>
        <w:rPr>
          <w:rFonts w:hint="eastAsia"/>
          <w:szCs w:val="21"/>
          <w:u w:val="single"/>
        </w:rPr>
        <w:t xml:space="preserve">                   </w:t>
      </w:r>
      <w:r>
        <w:rPr>
          <w:rFonts w:hint="eastAsia"/>
          <w:szCs w:val="21"/>
        </w:rPr>
        <w:t xml:space="preserve">    单位地址：</w:t>
      </w:r>
      <w:r>
        <w:rPr>
          <w:rFonts w:hint="eastAsia"/>
          <w:szCs w:val="21"/>
          <w:u w:val="single"/>
        </w:rPr>
        <w:t xml:space="preserve">               </w:t>
      </w:r>
    </w:p>
    <w:p>
      <w:pPr>
        <w:ind w:left="540" w:leftChars="257"/>
        <w:rPr>
          <w:szCs w:val="21"/>
          <w:u w:val="single"/>
        </w:rPr>
      </w:pPr>
      <w:r>
        <w:rPr>
          <w:rFonts w:hint="eastAsia"/>
          <w:szCs w:val="21"/>
        </w:rPr>
        <w:t>法定代表人或其委托代理人：</w:t>
      </w:r>
      <w:r>
        <w:rPr>
          <w:rFonts w:hint="eastAsia"/>
          <w:szCs w:val="21"/>
          <w:u w:val="single"/>
        </w:rPr>
        <w:t xml:space="preserve">                   </w:t>
      </w:r>
    </w:p>
    <w:p>
      <w:pPr>
        <w:ind w:left="540" w:leftChars="257"/>
        <w:rPr>
          <w:szCs w:val="21"/>
          <w:u w:val="single"/>
        </w:rPr>
      </w:pPr>
      <w:r>
        <w:rPr>
          <w:rFonts w:hint="eastAsia"/>
          <w:szCs w:val="21"/>
        </w:rPr>
        <w:t>邮政编码：</w:t>
      </w:r>
      <w:r>
        <w:rPr>
          <w:rFonts w:hint="eastAsia"/>
          <w:szCs w:val="21"/>
          <w:u w:val="single"/>
        </w:rPr>
        <w:t xml:space="preserve">          </w:t>
      </w:r>
      <w:r>
        <w:rPr>
          <w:rFonts w:hint="eastAsia"/>
          <w:szCs w:val="21"/>
        </w:rPr>
        <w:t xml:space="preserve">  电话：</w:t>
      </w:r>
      <w:r>
        <w:rPr>
          <w:rFonts w:hint="eastAsia"/>
          <w:szCs w:val="21"/>
          <w:u w:val="single"/>
        </w:rPr>
        <w:t xml:space="preserve">          </w:t>
      </w:r>
      <w:r>
        <w:rPr>
          <w:rFonts w:hint="eastAsia"/>
          <w:szCs w:val="21"/>
        </w:rPr>
        <w:t xml:space="preserve">  传真：</w:t>
      </w:r>
      <w:r>
        <w:rPr>
          <w:rFonts w:hint="eastAsia"/>
          <w:szCs w:val="21"/>
          <w:u w:val="single"/>
        </w:rPr>
        <w:t xml:space="preserve">            </w:t>
      </w:r>
    </w:p>
    <w:p>
      <w:pPr>
        <w:ind w:left="540" w:leftChars="257"/>
        <w:rPr>
          <w:szCs w:val="21"/>
        </w:rPr>
      </w:pPr>
      <w:r>
        <w:rPr>
          <w:rFonts w:hint="eastAsia"/>
          <w:szCs w:val="21"/>
        </w:rPr>
        <w:t>开户银行名称：</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rPr>
        <w:tab/>
      </w:r>
      <w:r>
        <w:rPr>
          <w:rFonts w:hint="eastAsia"/>
          <w:szCs w:val="21"/>
        </w:rPr>
        <w:t>开户银行帐号：</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p>
    <w:p>
      <w:pPr>
        <w:ind w:left="540" w:leftChars="257"/>
        <w:rPr>
          <w:szCs w:val="21"/>
        </w:rPr>
      </w:pPr>
      <w:r>
        <w:rPr>
          <w:rFonts w:hint="eastAsia"/>
          <w:szCs w:val="21"/>
        </w:rPr>
        <w:t>开户银行地址：</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rPr>
        <w:tab/>
      </w:r>
      <w:r>
        <w:rPr>
          <w:rFonts w:hint="eastAsia"/>
          <w:szCs w:val="21"/>
        </w:rPr>
        <w:t>开户银行电话：</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p>
    <w:p>
      <w:pPr>
        <w:ind w:firstLine="540" w:firstLineChars="257"/>
        <w:rPr>
          <w:sz w:val="24"/>
        </w:rPr>
      </w:pPr>
      <w:r>
        <w:rPr>
          <w:rFonts w:ascii="宋体" w:hAnsi="宋体" w:hint="eastAsia"/>
          <w:szCs w:val="21"/>
        </w:rPr>
        <w:t>日期：</w:t>
      </w:r>
      <w:r>
        <w:rPr>
          <w:rFonts w:ascii="宋体" w:hAnsi="宋体" w:hint="eastAsia"/>
          <w:szCs w:val="21"/>
          <w:u w:val="single"/>
        </w:rPr>
        <w:t xml:space="preserve">       </w:t>
      </w:r>
      <w:r>
        <w:rPr>
          <w:rFonts w:ascii="宋体" w:hAnsi="宋体" w:hint="eastAsia"/>
          <w:szCs w:val="21"/>
        </w:rPr>
        <w:t>年</w:t>
      </w:r>
      <w:r>
        <w:rPr>
          <w:rFonts w:ascii="宋体" w:hAnsi="宋体" w:hint="eastAsia"/>
          <w:szCs w:val="21"/>
          <w:u w:val="single"/>
        </w:rPr>
        <w:t xml:space="preserve">     </w:t>
      </w:r>
      <w:r>
        <w:rPr>
          <w:rFonts w:ascii="宋体" w:hAnsi="宋体" w:hint="eastAsia"/>
          <w:szCs w:val="21"/>
        </w:rPr>
        <w:t>月</w:t>
      </w:r>
      <w:r>
        <w:rPr>
          <w:rFonts w:ascii="宋体" w:hAnsi="宋体" w:hint="eastAsia"/>
          <w:szCs w:val="21"/>
          <w:u w:val="single"/>
        </w:rPr>
        <w:t xml:space="preserve">    </w:t>
      </w:r>
      <w:r>
        <w:rPr>
          <w:rFonts w:ascii="宋体" w:hAnsi="宋体" w:hint="eastAsia"/>
          <w:szCs w:val="21"/>
        </w:rPr>
        <w:t>日</w:t>
      </w:r>
      <w:r>
        <w:rPr>
          <w:rFonts w:hint="eastAsia"/>
          <w:sz w:val="24"/>
        </w:rPr>
        <w:t xml:space="preserve">    </w:t>
      </w:r>
    </w:p>
    <w:p>
      <w:pPr>
        <w:ind w:firstLine="540" w:firstLineChars="257"/>
        <w:rPr>
          <w:sz w:val="24"/>
        </w:rPr>
      </w:pPr>
    </w:p>
    <w:p>
      <w:pPr>
        <w:rPr>
          <w:rFonts w:ascii="宋体" w:hAnsi="宋体"/>
          <w:szCs w:val="21"/>
        </w:rPr>
      </w:pPr>
      <w:r>
        <w:rPr>
          <w:rFonts w:hint="eastAsia"/>
          <w:szCs w:val="21"/>
          <w:u w:val="single"/>
        </w:rPr>
        <w:t>（备注：如联合体投标，投标人一栏仅需填写牵头人的名称）</w:t>
      </w:r>
    </w:p>
    <w:p>
      <w:pPr>
        <w:ind w:firstLine="540" w:firstLineChars="257"/>
        <w:rPr>
          <w:sz w:val="24"/>
        </w:rPr>
      </w:pPr>
      <w:r>
        <w:rPr>
          <w:rFonts w:hint="eastAsia"/>
          <w:sz w:val="24"/>
        </w:rPr>
        <w:t xml:space="preserve">                          </w:t>
      </w:r>
    </w:p>
    <w:p>
      <w:pPr>
        <w:pStyle w:val="Heading3"/>
        <w:jc w:val="center"/>
        <w:rPr>
          <w:rFonts w:ascii="黑体" w:eastAsia="黑体"/>
          <w:b w:val="0"/>
          <w:sz w:val="24"/>
        </w:rPr>
      </w:pPr>
      <w:r>
        <w:rPr>
          <w:rFonts w:ascii="黑体" w:eastAsia="黑体" w:hint="eastAsia"/>
          <w:b w:val="0"/>
          <w:sz w:val="24"/>
        </w:rPr>
        <w:t>二、资格响应文件</w:t>
      </w:r>
    </w:p>
    <w:p>
      <w:pPr>
        <w:adjustRightInd w:val="0"/>
        <w:snapToGrid w:val="0"/>
        <w:spacing w:line="360" w:lineRule="auto"/>
        <w:ind w:firstLine="424" w:firstLineChars="202"/>
        <w:rPr>
          <w:rFonts w:ascii="宋体" w:hAnsi="宋体"/>
          <w:bCs/>
          <w:snapToGrid w:val="0"/>
          <w:kern w:val="0"/>
          <w:szCs w:val="21"/>
        </w:rPr>
      </w:pPr>
      <w:r>
        <w:rPr>
          <w:rFonts w:ascii="宋体" w:hAnsi="宋体" w:hint="eastAsia"/>
          <w:bCs/>
          <w:snapToGrid w:val="0"/>
          <w:kern w:val="0"/>
          <w:szCs w:val="21"/>
        </w:rPr>
        <w:t>1、</w:t>
      </w:r>
      <w:r>
        <w:rPr>
          <w:rFonts w:ascii="宋体" w:hAnsi="宋体"/>
          <w:bCs/>
          <w:snapToGrid w:val="0"/>
          <w:kern w:val="0"/>
          <w:szCs w:val="21"/>
        </w:rPr>
        <w:t>营业执照</w:t>
      </w:r>
      <w:r>
        <w:rPr>
          <w:rFonts w:ascii="宋体" w:hAnsi="宋体" w:hint="eastAsia"/>
          <w:bCs/>
          <w:snapToGrid w:val="0"/>
          <w:kern w:val="0"/>
          <w:szCs w:val="21"/>
        </w:rPr>
        <w:t>或法人证书</w:t>
      </w:r>
      <w:r>
        <w:rPr>
          <w:rFonts w:ascii="Times New Roman" w:hAnsi="宋体" w:hint="eastAsia"/>
          <w:szCs w:val="21"/>
        </w:rPr>
        <w:t>等证明材料</w:t>
      </w:r>
      <w:r>
        <w:rPr>
          <w:rFonts w:ascii="宋体" w:hAnsi="宋体" w:hint="eastAsia"/>
          <w:bCs/>
          <w:snapToGrid w:val="0"/>
          <w:kern w:val="0"/>
          <w:szCs w:val="21"/>
        </w:rPr>
        <w:t>（扫描件）</w:t>
      </w:r>
    </w:p>
    <w:p>
      <w:pPr>
        <w:adjustRightInd w:val="0"/>
        <w:snapToGrid w:val="0"/>
        <w:spacing w:line="360" w:lineRule="auto"/>
        <w:ind w:firstLine="424" w:firstLineChars="202"/>
        <w:rPr>
          <w:rFonts w:ascii="宋体" w:hAnsi="宋体"/>
          <w:szCs w:val="24"/>
        </w:rPr>
      </w:pPr>
      <w:r>
        <w:rPr>
          <w:rFonts w:ascii="宋体" w:hAnsi="宋体" w:hint="eastAsia"/>
          <w:bCs/>
          <w:snapToGrid w:val="0"/>
          <w:kern w:val="0"/>
          <w:szCs w:val="21"/>
        </w:rPr>
        <w:t>2、</w:t>
      </w:r>
      <w:r>
        <w:rPr>
          <w:rFonts w:ascii="Times New Roman" w:hAnsi="Times New Roman" w:hint="eastAsia"/>
          <w:szCs w:val="21"/>
        </w:rPr>
        <w:t>政府采购投标及履约承诺函</w:t>
      </w:r>
    </w:p>
    <w:p>
      <w:pPr>
        <w:adjustRightInd w:val="0"/>
        <w:snapToGrid w:val="0"/>
        <w:spacing w:line="360" w:lineRule="auto"/>
        <w:ind w:firstLine="424" w:firstLineChars="202"/>
        <w:rPr>
          <w:rFonts w:ascii="宋体" w:hAnsi="宋体"/>
        </w:rPr>
      </w:pPr>
      <w:r>
        <w:rPr>
          <w:rFonts w:ascii="宋体" w:hAnsi="宋体" w:hint="eastAsia"/>
          <w:szCs w:val="24"/>
        </w:rPr>
        <w:t>3、</w:t>
      </w:r>
      <w:r>
        <w:rPr>
          <w:rFonts w:ascii="宋体" w:hAnsi="宋体" w:hint="eastAsia"/>
        </w:rPr>
        <w:t>联合体投标协议（非联合体投标无需提供）</w:t>
      </w:r>
    </w:p>
    <w:p>
      <w:pPr>
        <w:adjustRightInd w:val="0"/>
        <w:snapToGrid w:val="0"/>
        <w:spacing w:line="360" w:lineRule="auto"/>
        <w:ind w:firstLine="424" w:firstLineChars="202"/>
        <w:rPr>
          <w:rFonts w:ascii="宋体" w:hAnsi="宋体"/>
          <w:szCs w:val="24"/>
        </w:rPr>
      </w:pPr>
      <w:r>
        <w:rPr>
          <w:rFonts w:ascii="宋体" w:hAnsi="宋体" w:hint="eastAsia"/>
          <w:szCs w:val="24"/>
          <w:lang w:val="en-US" w:eastAsia="zh-CN"/>
        </w:rPr>
        <w:t>4、</w:t>
      </w:r>
      <w:r>
        <w:rPr>
          <w:rFonts w:ascii="宋体" w:hAnsi="宋体" w:hint="eastAsia"/>
          <w:szCs w:val="24"/>
        </w:rPr>
        <w:t>其它资格证明材料（如有，按招标公告“申请人的资格要求”提供）</w:t>
      </w:r>
    </w:p>
    <w:p>
      <w:pPr>
        <w:rPr>
          <w:szCs w:val="21"/>
          <w:u w:val="single"/>
        </w:rPr>
      </w:pPr>
    </w:p>
    <w:p>
      <w:pPr>
        <w:rPr>
          <w:rFonts w:ascii="宋体" w:hAnsi="宋体"/>
          <w:szCs w:val="21"/>
        </w:rPr>
      </w:pPr>
      <w:r>
        <w:rPr>
          <w:rFonts w:hint="eastAsia"/>
          <w:szCs w:val="21"/>
          <w:u w:val="single"/>
        </w:rPr>
        <w:t>（备注：如联合体投标，联合体各方均应按要求提供资格响应文件）</w:t>
      </w:r>
    </w:p>
    <w:p>
      <w:pPr>
        <w:pStyle w:val="Heading3"/>
        <w:jc w:val="center"/>
        <w:rPr>
          <w:rFonts w:ascii="黑体" w:eastAsia="黑体"/>
          <w:b w:val="0"/>
          <w:sz w:val="24"/>
        </w:rPr>
      </w:pPr>
    </w:p>
    <w:p>
      <w:pPr>
        <w:pStyle w:val="Heading3"/>
        <w:jc w:val="center"/>
        <w:rPr>
          <w:rFonts w:ascii="黑体" w:eastAsia="黑体"/>
          <w:b w:val="0"/>
          <w:sz w:val="24"/>
        </w:rPr>
      </w:pPr>
      <w:r>
        <w:rPr>
          <w:rFonts w:ascii="黑体" w:eastAsia="黑体" w:hint="eastAsia"/>
          <w:b w:val="0"/>
          <w:sz w:val="24"/>
        </w:rPr>
        <w:t>政府采购投标及履约承诺函</w:t>
      </w:r>
    </w:p>
    <w:p>
      <w:pPr>
        <w:rPr>
          <w:rFonts w:ascii="宋体" w:hAnsi="宋体"/>
          <w:szCs w:val="21"/>
        </w:rPr>
      </w:pPr>
      <w:r>
        <w:rPr>
          <w:rFonts w:ascii="宋体" w:hAnsi="宋体" w:hint="eastAsia"/>
          <w:szCs w:val="21"/>
        </w:rPr>
        <w:t>深圳市中正招标有限公司：</w:t>
      </w:r>
    </w:p>
    <w:p>
      <w:pPr>
        <w:ind w:right="-815" w:firstLine="420" w:firstLineChars="200"/>
        <w:rPr>
          <w:rFonts w:ascii="宋体" w:hAnsi="宋体"/>
          <w:szCs w:val="21"/>
        </w:rPr>
      </w:pPr>
      <w:r>
        <w:rPr>
          <w:rFonts w:ascii="宋体" w:hAnsi="宋体" w:hint="eastAsia"/>
          <w:szCs w:val="21"/>
        </w:rPr>
        <w:t>我单位承诺：</w:t>
      </w:r>
    </w:p>
    <w:p>
      <w:pPr>
        <w:ind w:firstLine="424" w:firstLineChars="202"/>
        <w:rPr>
          <w:rFonts w:ascii="宋体" w:hAnsi="宋体"/>
          <w:szCs w:val="21"/>
        </w:rPr>
      </w:pPr>
      <w:r>
        <w:rPr>
          <w:rFonts w:ascii="宋体" w:hAnsi="宋体" w:hint="eastAsia"/>
          <w:szCs w:val="21"/>
        </w:rPr>
        <w:t>1.我单位满足《中华人民共和国政府采购法》第二十二条规定的下列条件：</w:t>
      </w:r>
    </w:p>
    <w:p>
      <w:pPr>
        <w:ind w:firstLine="424" w:firstLineChars="202"/>
        <w:rPr>
          <w:rFonts w:ascii="宋体" w:hAnsi="宋体"/>
          <w:szCs w:val="21"/>
        </w:rPr>
      </w:pPr>
      <w:r>
        <w:rPr>
          <w:rFonts w:ascii="宋体" w:hAnsi="宋体" w:hint="eastAsia"/>
          <w:szCs w:val="21"/>
        </w:rPr>
        <w:t>（一）具有独立承担民事责任的能力；</w:t>
      </w:r>
    </w:p>
    <w:p>
      <w:pPr>
        <w:ind w:firstLine="424" w:firstLineChars="202"/>
        <w:rPr>
          <w:rFonts w:ascii="宋体" w:hAnsi="宋体"/>
          <w:szCs w:val="21"/>
        </w:rPr>
      </w:pPr>
      <w:r>
        <w:rPr>
          <w:rFonts w:ascii="宋体" w:hAnsi="宋体" w:hint="eastAsia"/>
          <w:szCs w:val="21"/>
        </w:rPr>
        <w:t>（二）具有良好的商业信誉和健全的财务会计制度；</w:t>
      </w:r>
    </w:p>
    <w:p>
      <w:pPr>
        <w:ind w:firstLine="424" w:firstLineChars="202"/>
        <w:rPr>
          <w:rFonts w:ascii="宋体" w:hAnsi="宋体"/>
          <w:szCs w:val="21"/>
        </w:rPr>
      </w:pPr>
      <w:r>
        <w:rPr>
          <w:rFonts w:ascii="宋体" w:hAnsi="宋体" w:hint="eastAsia"/>
          <w:szCs w:val="21"/>
        </w:rPr>
        <w:t>（三）具有履行合同所必需的设备和专业技术能力；</w:t>
      </w:r>
    </w:p>
    <w:p>
      <w:pPr>
        <w:ind w:firstLine="424" w:firstLineChars="202"/>
        <w:rPr>
          <w:rFonts w:ascii="宋体" w:hAnsi="宋体"/>
          <w:szCs w:val="21"/>
        </w:rPr>
      </w:pPr>
      <w:r>
        <w:rPr>
          <w:rFonts w:ascii="宋体" w:hAnsi="宋体" w:hint="eastAsia"/>
          <w:szCs w:val="21"/>
        </w:rPr>
        <w:t>（四）有依法缴纳税收和社会保障资金的良好记录；</w:t>
      </w:r>
    </w:p>
    <w:p>
      <w:pPr>
        <w:ind w:firstLine="424" w:firstLineChars="202"/>
        <w:rPr>
          <w:rFonts w:ascii="宋体" w:hAnsi="宋体"/>
          <w:szCs w:val="21"/>
        </w:rPr>
      </w:pPr>
      <w:r>
        <w:rPr>
          <w:rFonts w:ascii="宋体" w:hAnsi="宋体" w:hint="eastAsia"/>
          <w:szCs w:val="21"/>
        </w:rPr>
        <w:t>（五）参加政府采购活动前三年内，在经营活动中没有重大违法记录；</w:t>
      </w:r>
    </w:p>
    <w:p>
      <w:pPr>
        <w:ind w:firstLine="424" w:firstLineChars="202"/>
        <w:rPr>
          <w:rFonts w:ascii="宋体" w:hAnsi="宋体"/>
          <w:szCs w:val="21"/>
        </w:rPr>
      </w:pPr>
      <w:r>
        <w:rPr>
          <w:rFonts w:ascii="宋体" w:hAnsi="宋体" w:hint="eastAsia"/>
          <w:szCs w:val="21"/>
        </w:rPr>
        <w:t>（六）法律、行政法规规定的其他条件。</w:t>
      </w:r>
    </w:p>
    <w:p>
      <w:pPr>
        <w:ind w:firstLine="424" w:firstLineChars="202"/>
        <w:rPr>
          <w:rFonts w:ascii="宋体" w:hAnsi="宋体"/>
          <w:szCs w:val="21"/>
        </w:rPr>
      </w:pPr>
      <w:r>
        <w:rPr>
          <w:rFonts w:ascii="宋体" w:hAnsi="宋体" w:hint="eastAsia"/>
          <w:szCs w:val="21"/>
        </w:rPr>
        <w:t>2.我单位参与本项目采购活动前三年内，在经营活动中没有重大违法记录，包括因违法经营受到刑事处罚或者责令停产停业、吊销许可证或者执照、较大数额罚款等行政处罚。</w:t>
      </w:r>
    </w:p>
    <w:p>
      <w:pPr>
        <w:ind w:firstLine="424" w:firstLineChars="202"/>
        <w:rPr>
          <w:rFonts w:ascii="宋体" w:hAnsi="宋体"/>
          <w:szCs w:val="21"/>
        </w:rPr>
      </w:pPr>
      <w:r>
        <w:rPr>
          <w:rFonts w:ascii="宋体" w:hAnsi="宋体" w:hint="eastAsia"/>
          <w:szCs w:val="21"/>
        </w:rPr>
        <w:t>3.我单位参与本项目政府采购活动时不存在被有关部门禁止参与政府采购活动且在有效期内的情况；与其他投标供应商不存在“单位负责人为同一人或者存在直接控股、管理关系”的情况；</w:t>
      </w:r>
      <w:r>
        <w:rPr>
          <w:rFonts w:asciiTheme="minorEastAsia" w:eastAsiaTheme="minorEastAsia" w:hAnsiTheme="minorEastAsia" w:hint="eastAsia"/>
          <w:snapToGrid w:val="0"/>
        </w:rPr>
        <w:t>除单一来源采购项目外，为采购项目提供整体设计、规范编制或者项目管理、监理、检测等服务的供应商，不得再参加该采购项目的其他采购活动</w:t>
      </w:r>
      <w:r>
        <w:rPr>
          <w:rFonts w:ascii="宋体" w:hAnsi="宋体" w:hint="eastAsia"/>
          <w:szCs w:val="21"/>
        </w:rPr>
        <w:t>。</w:t>
      </w:r>
    </w:p>
    <w:p>
      <w:pPr>
        <w:ind w:firstLine="424" w:firstLineChars="202"/>
        <w:rPr>
          <w:rFonts w:ascii="宋体" w:hAnsi="宋体"/>
          <w:szCs w:val="21"/>
        </w:rPr>
      </w:pPr>
      <w:r>
        <w:rPr>
          <w:rFonts w:ascii="宋体" w:hAnsi="宋体" w:hint="eastAsia"/>
          <w:szCs w:val="21"/>
        </w:rPr>
        <w:t>4.我单位承诺不非法转包或分包，为本项目所提供的货物或服务未侵犯知识产权。</w:t>
      </w:r>
    </w:p>
    <w:p>
      <w:pPr>
        <w:ind w:firstLine="424" w:firstLineChars="202"/>
        <w:rPr>
          <w:rFonts w:ascii="宋体" w:hAnsi="宋体"/>
          <w:szCs w:val="21"/>
        </w:rPr>
      </w:pPr>
      <w:r>
        <w:rPr>
          <w:rFonts w:ascii="宋体" w:hAnsi="宋体" w:hint="eastAsia"/>
          <w:szCs w:val="21"/>
        </w:rPr>
        <w:t>5.我单位承诺不存在《深圳市财政局政府采购供应商信用信息管理办法》（深财规〔2023〕3号）列明的严重违法失信行为。</w:t>
      </w:r>
    </w:p>
    <w:p>
      <w:pPr>
        <w:ind w:firstLine="424" w:firstLineChars="202"/>
        <w:rPr>
          <w:rFonts w:ascii="宋体" w:hAnsi="宋体"/>
          <w:szCs w:val="21"/>
        </w:rPr>
      </w:pPr>
      <w:r>
        <w:rPr>
          <w:rFonts w:ascii="宋体" w:hAnsi="宋体" w:hint="eastAsia"/>
          <w:szCs w:val="21"/>
        </w:rPr>
        <w:t>6.我单位参与该项目投标，严格遵循公平竞争的原则，不妨碍其他投标人的竞争行为，不损害采购人或者其他投标人的合法权益，与其他采购参加人不存在下列串通投标情形：</w:t>
      </w:r>
    </w:p>
    <w:p>
      <w:pPr>
        <w:ind w:firstLine="424" w:firstLineChars="202"/>
        <w:rPr>
          <w:rFonts w:ascii="宋体" w:hAnsi="宋体"/>
          <w:szCs w:val="21"/>
        </w:rPr>
      </w:pPr>
      <w:r>
        <w:rPr>
          <w:rFonts w:ascii="宋体" w:hAnsi="宋体" w:hint="eastAsia"/>
          <w:szCs w:val="21"/>
        </w:rPr>
        <w:t>（1）投标供应商之间相互约定给予未中标的供应商利益补偿；</w:t>
      </w:r>
    </w:p>
    <w:p>
      <w:pPr>
        <w:ind w:firstLine="424" w:firstLineChars="202"/>
        <w:rPr>
          <w:rFonts w:ascii="宋体" w:hAnsi="宋体"/>
          <w:szCs w:val="21"/>
        </w:rPr>
      </w:pPr>
      <w:r>
        <w:rPr>
          <w:rFonts w:ascii="宋体" w:hAnsi="宋体" w:hint="eastAsia"/>
          <w:szCs w:val="21"/>
        </w:rPr>
        <w:t>（2）不同投标供应商的法定代表人、主要经营负责人、项目投标授权代表人、项目负责人、主要技术人员为同一人、属同一单位或者在同一单位缴纳社会保险；</w:t>
      </w:r>
    </w:p>
    <w:p>
      <w:pPr>
        <w:ind w:firstLine="424" w:firstLineChars="202"/>
        <w:rPr>
          <w:rFonts w:ascii="宋体" w:hAnsi="宋体"/>
          <w:szCs w:val="21"/>
        </w:rPr>
      </w:pPr>
      <w:r>
        <w:rPr>
          <w:rFonts w:ascii="宋体" w:hAnsi="宋体" w:hint="eastAsia"/>
          <w:szCs w:val="21"/>
        </w:rPr>
        <w:t>（3）不同投标供应商的投标文件由同一单位或者同一人编制，或者由同一人分阶段参与编制的；</w:t>
      </w:r>
    </w:p>
    <w:p>
      <w:pPr>
        <w:ind w:firstLine="424" w:firstLineChars="202"/>
        <w:rPr>
          <w:rFonts w:ascii="宋体" w:hAnsi="宋体"/>
          <w:szCs w:val="21"/>
        </w:rPr>
      </w:pPr>
      <w:r>
        <w:rPr>
          <w:rFonts w:ascii="宋体" w:hAnsi="宋体" w:hint="eastAsia"/>
          <w:szCs w:val="21"/>
        </w:rPr>
        <w:t>（4）不同投标供应商的投标文件或部分投标文件相互混装；</w:t>
      </w:r>
    </w:p>
    <w:p>
      <w:pPr>
        <w:ind w:firstLine="424" w:firstLineChars="202"/>
        <w:rPr>
          <w:rFonts w:ascii="宋体" w:hAnsi="宋体"/>
          <w:szCs w:val="21"/>
        </w:rPr>
      </w:pPr>
      <w:r>
        <w:rPr>
          <w:rFonts w:ascii="宋体" w:hAnsi="宋体" w:hint="eastAsia"/>
          <w:szCs w:val="21"/>
        </w:rPr>
        <w:t>（5）不同投标供应商的投标文件内容存在非正常一致；</w:t>
      </w:r>
    </w:p>
    <w:p>
      <w:pPr>
        <w:ind w:firstLine="424" w:firstLineChars="202"/>
        <w:rPr>
          <w:rFonts w:ascii="宋体" w:hAnsi="宋体"/>
          <w:szCs w:val="21"/>
        </w:rPr>
      </w:pPr>
      <w:r>
        <w:rPr>
          <w:rFonts w:ascii="宋体" w:hAnsi="宋体" w:hint="eastAsia"/>
          <w:szCs w:val="21"/>
        </w:rPr>
        <w:t>（6）由同一单位工作人员为两家以上（含两家）供应商进行同一项投标活动的；</w:t>
      </w:r>
    </w:p>
    <w:p>
      <w:pPr>
        <w:ind w:firstLine="424" w:firstLineChars="202"/>
        <w:rPr>
          <w:rFonts w:ascii="宋体" w:hAnsi="宋体"/>
          <w:szCs w:val="21"/>
        </w:rPr>
      </w:pPr>
      <w:r>
        <w:rPr>
          <w:rFonts w:ascii="宋体" w:hAnsi="宋体" w:hint="eastAsia"/>
          <w:szCs w:val="21"/>
        </w:rPr>
        <w:t>（7）主管部门依照法律、法规认定的其他情形。</w:t>
      </w:r>
    </w:p>
    <w:p>
      <w:pPr>
        <w:ind w:firstLine="424" w:firstLineChars="202"/>
        <w:rPr>
          <w:rFonts w:ascii="宋体" w:hAnsi="宋体"/>
          <w:szCs w:val="21"/>
        </w:rPr>
      </w:pPr>
      <w:r>
        <w:rPr>
          <w:rFonts w:ascii="宋体" w:hAnsi="宋体" w:hint="eastAsia"/>
          <w:szCs w:val="21"/>
        </w:rPr>
        <w:t>7.我单位如果中标，做到守信，不偷工减料，依照本项目招标文件需求内容、签署的采购合同及本单位在投标中所作的一切承诺履约。</w:t>
      </w:r>
    </w:p>
    <w:p>
      <w:pPr>
        <w:ind w:firstLine="424" w:firstLineChars="202"/>
        <w:rPr>
          <w:rFonts w:ascii="宋体" w:hAnsi="宋体"/>
          <w:szCs w:val="21"/>
        </w:rPr>
      </w:pPr>
      <w:r>
        <w:rPr>
          <w:rFonts w:ascii="宋体" w:hAnsi="宋体" w:hint="eastAsia"/>
          <w:szCs w:val="21"/>
        </w:rPr>
        <w:t>8.我单位承诺不恶意低价谋取中标；我单位对本项目的报价负责，中标后将严格按照本项目招标文件需求、签署的采购合同及我单位在投标中所作的全部承诺履行。我单位清楚，若我单位以“报价太低而无法履约”为理由放弃本项目中标资格，愿意接受主管部门的处理处罚。若我单位中标本项目，我单位的报价明显低于其他投标人的报价时，我单位清楚，本项目将成为重点监管、重点验收项目，我单位将按时保质保量完成，并全力配合有关监管、验收工作；若我单位未按上述要求履约，我单位愿意接受主管部门的处理处罚。</w:t>
      </w:r>
    </w:p>
    <w:p>
      <w:pPr>
        <w:ind w:firstLine="424" w:firstLineChars="202"/>
        <w:rPr>
          <w:rFonts w:ascii="宋体" w:hAnsi="宋体"/>
          <w:szCs w:val="21"/>
        </w:rPr>
      </w:pPr>
      <w:r>
        <w:rPr>
          <w:rFonts w:ascii="宋体" w:hAnsi="宋体" w:hint="eastAsia"/>
          <w:szCs w:val="21"/>
        </w:rPr>
        <w:t>9.我单位已认真核实了投标文件的全部内容，所有资料均为真实资料。我单位对投标文件中全部投标资料的真实性负责，如被证实我单位的投标文件中存在虚假资料的，则视为我单位隐瞒真实情况、提供虚假资料，我单位愿意接受主管部门作出的行政处罚。</w:t>
      </w:r>
    </w:p>
    <w:p>
      <w:pPr>
        <w:ind w:firstLine="424" w:firstLineChars="202"/>
        <w:rPr>
          <w:rFonts w:ascii="宋体" w:hAnsi="宋体"/>
          <w:szCs w:val="21"/>
        </w:rPr>
      </w:pPr>
      <w:r>
        <w:rPr>
          <w:rFonts w:ascii="宋体" w:hAnsi="宋体" w:hint="eastAsia"/>
          <w:szCs w:val="21"/>
        </w:rPr>
        <w:t>10.我单位获得中标、成交资格后无正当理由放弃中标、成交资格的，自愿接受政府采购主管部门将我单位放弃中标、成交资格的信息公示在深圳市政府采购监管网，公示期一年，一切不利后果我单位均自愿承担。</w:t>
      </w:r>
    </w:p>
    <w:p>
      <w:pPr>
        <w:ind w:firstLine="424" w:firstLineChars="202"/>
        <w:rPr>
          <w:rFonts w:ascii="宋体" w:hAnsi="宋体"/>
          <w:szCs w:val="21"/>
        </w:rPr>
      </w:pPr>
      <w:r>
        <w:rPr>
          <w:rFonts w:ascii="宋体" w:hAnsi="宋体" w:hint="eastAsia"/>
          <w:szCs w:val="21"/>
          <w:lang w:val="en-US" w:eastAsia="zh-CN"/>
        </w:rPr>
        <w:t>11.</w:t>
      </w:r>
      <w:r>
        <w:rPr>
          <w:rFonts w:ascii="宋体" w:hAnsi="宋体" w:hint="eastAsia"/>
          <w:szCs w:val="21"/>
        </w:rPr>
        <w:t>我单位承诺未参与本项目的采购需求、技术指标、商务指标等内容的设定，不存在对其他投标单位不公平的行为。</w:t>
      </w:r>
    </w:p>
    <w:p>
      <w:pPr>
        <w:ind w:firstLine="424" w:firstLineChars="202"/>
        <w:rPr>
          <w:rFonts w:ascii="宋体" w:hAnsi="宋体"/>
          <w:szCs w:val="21"/>
        </w:rPr>
      </w:pPr>
      <w:r>
        <w:rPr>
          <w:rFonts w:ascii="宋体" w:hAnsi="宋体" w:hint="eastAsia"/>
          <w:szCs w:val="21"/>
        </w:rPr>
        <w:t>12.我单位承诺不对采购人进行贿赂，进行有偿报答。</w:t>
      </w:r>
    </w:p>
    <w:p>
      <w:pPr>
        <w:ind w:firstLine="424" w:firstLineChars="202"/>
        <w:rPr>
          <w:rFonts w:ascii="宋体" w:hAnsi="宋体"/>
          <w:szCs w:val="21"/>
        </w:rPr>
      </w:pPr>
      <w:r>
        <w:rPr>
          <w:rFonts w:ascii="宋体" w:hAnsi="宋体" w:hint="eastAsia"/>
          <w:szCs w:val="21"/>
        </w:rPr>
        <w:t>13.我单位承诺不对采购人进行任何形式的利益输送。</w:t>
      </w:r>
    </w:p>
    <w:p>
      <w:pPr>
        <w:ind w:firstLine="424" w:firstLineChars="202"/>
        <w:rPr>
          <w:rFonts w:ascii="宋体" w:hAnsi="宋体"/>
          <w:szCs w:val="21"/>
        </w:rPr>
      </w:pPr>
      <w:r>
        <w:rPr>
          <w:rFonts w:ascii="宋体" w:hAnsi="宋体" w:hint="eastAsia"/>
          <w:szCs w:val="21"/>
        </w:rPr>
        <w:t>14.我单位承诺不对采购人进行宴请和娱乐等消费活动。</w:t>
      </w:r>
    </w:p>
    <w:p>
      <w:pPr>
        <w:ind w:firstLine="424" w:firstLineChars="202"/>
        <w:rPr>
          <w:rFonts w:ascii="宋体" w:hAnsi="宋体"/>
          <w:szCs w:val="21"/>
        </w:rPr>
      </w:pPr>
      <w:r>
        <w:rPr>
          <w:rFonts w:ascii="宋体" w:hAnsi="宋体" w:hint="eastAsia"/>
          <w:szCs w:val="21"/>
        </w:rPr>
        <w:t>15.我单位承诺不对采购人进行赠送各种礼品、现金、有价证券、中介费、好处费等行为。</w:t>
      </w:r>
    </w:p>
    <w:p>
      <w:pPr>
        <w:ind w:firstLine="424" w:firstLineChars="202"/>
        <w:rPr>
          <w:rFonts w:ascii="宋体" w:hAnsi="宋体"/>
          <w:szCs w:val="21"/>
        </w:rPr>
      </w:pPr>
      <w:r>
        <w:rPr>
          <w:rFonts w:ascii="宋体" w:hAnsi="宋体" w:hint="eastAsia"/>
          <w:szCs w:val="21"/>
        </w:rPr>
        <w:t>以上承诺，如有违反，愿依照相关法律法规处理，并承担由此给采购人带来的损失。</w:t>
      </w:r>
    </w:p>
    <w:p>
      <w:pPr>
        <w:ind w:firstLine="424" w:firstLineChars="202"/>
        <w:rPr>
          <w:rFonts w:ascii="宋体" w:hAnsi="宋体"/>
          <w:szCs w:val="21"/>
        </w:rPr>
      </w:pPr>
    </w:p>
    <w:p>
      <w:pPr>
        <w:jc w:val="center"/>
      </w:pPr>
      <w:r>
        <w:rPr>
          <w:rFonts w:hint="eastAsia"/>
          <w:szCs w:val="21"/>
        </w:rPr>
        <w:t xml:space="preserve">                             投标人：</w:t>
      </w:r>
    </w:p>
    <w:p>
      <w:pPr>
        <w:rPr>
          <w:rFonts w:ascii="宋体" w:hAnsi="宋体"/>
          <w:szCs w:val="21"/>
        </w:rPr>
      </w:pPr>
      <w:r>
        <w:rPr>
          <w:rFonts w:ascii="宋体" w:hAnsi="宋体" w:hint="eastAsia"/>
          <w:szCs w:val="21"/>
        </w:rPr>
        <w:t xml:space="preserve">                                                      日期：</w:t>
      </w:r>
      <w:r>
        <w:rPr>
          <w:rFonts w:ascii="宋体" w:hAnsi="宋体" w:hint="eastAsia"/>
          <w:szCs w:val="21"/>
          <w:u w:val="single"/>
        </w:rPr>
        <w:t xml:space="preserve">    </w:t>
      </w:r>
      <w:r>
        <w:rPr>
          <w:rFonts w:ascii="宋体" w:hAnsi="宋体" w:hint="eastAsia"/>
          <w:szCs w:val="21"/>
        </w:rPr>
        <w:t>年</w:t>
      </w:r>
      <w:r>
        <w:rPr>
          <w:rFonts w:ascii="宋体" w:hAnsi="宋体" w:hint="eastAsia"/>
          <w:szCs w:val="21"/>
          <w:u w:val="single"/>
        </w:rPr>
        <w:t xml:space="preserve">   </w:t>
      </w:r>
      <w:r>
        <w:rPr>
          <w:rFonts w:ascii="宋体" w:hAnsi="宋体" w:hint="eastAsia"/>
          <w:szCs w:val="21"/>
        </w:rPr>
        <w:t>月</w:t>
      </w:r>
      <w:r>
        <w:rPr>
          <w:rFonts w:ascii="宋体" w:hAnsi="宋体" w:hint="eastAsia"/>
          <w:szCs w:val="21"/>
          <w:u w:val="single"/>
        </w:rPr>
        <w:t xml:space="preserve">   </w:t>
      </w:r>
      <w:r>
        <w:rPr>
          <w:rFonts w:ascii="宋体" w:hAnsi="宋体" w:hint="eastAsia"/>
          <w:szCs w:val="21"/>
        </w:rPr>
        <w:t>日</w:t>
      </w:r>
    </w:p>
    <w:p>
      <w:pPr>
        <w:ind w:firstLine="424" w:firstLineChars="202"/>
        <w:rPr>
          <w:rFonts w:ascii="宋体" w:hAnsi="宋体"/>
          <w:szCs w:val="21"/>
        </w:rPr>
      </w:pPr>
    </w:p>
    <w:p/>
    <w:p>
      <w:pPr>
        <w:rPr>
          <w:rFonts w:ascii="宋体" w:hAnsi="宋体"/>
          <w:szCs w:val="21"/>
        </w:rPr>
      </w:pPr>
      <w:r>
        <w:rPr>
          <w:rFonts w:hint="eastAsia"/>
          <w:szCs w:val="21"/>
          <w:u w:val="single"/>
        </w:rPr>
        <w:t>（备注：如联合体投标，投标人一栏需填写联合体各方的名称）</w:t>
      </w:r>
    </w:p>
    <w:p/>
    <w:p>
      <w:pPr>
        <w:adjustRightInd w:val="0"/>
        <w:spacing w:line="300" w:lineRule="auto"/>
        <w:ind w:hanging="2"/>
        <w:jc w:val="center"/>
        <w:rPr>
          <w:rFonts w:hint="eastAsia"/>
          <w:b/>
          <w:snapToGrid w:val="0"/>
          <w:kern w:val="0"/>
          <w:sz w:val="28"/>
        </w:rPr>
      </w:pPr>
    </w:p>
    <w:p>
      <w:pPr>
        <w:adjustRightInd w:val="0"/>
        <w:spacing w:line="300" w:lineRule="auto"/>
        <w:ind w:hanging="2"/>
        <w:jc w:val="center"/>
        <w:rPr>
          <w:b/>
          <w:snapToGrid w:val="0"/>
          <w:kern w:val="0"/>
          <w:sz w:val="28"/>
        </w:rPr>
      </w:pPr>
      <w:r>
        <w:rPr>
          <w:rFonts w:hint="eastAsia"/>
          <w:b/>
          <w:snapToGrid w:val="0"/>
          <w:kern w:val="0"/>
          <w:sz w:val="28"/>
        </w:rPr>
        <w:t>联合体投标协议</w:t>
      </w:r>
    </w:p>
    <w:p>
      <w:pPr>
        <w:widowControl/>
        <w:adjustRightInd w:val="0"/>
        <w:snapToGrid w:val="0"/>
        <w:spacing w:after="200"/>
        <w:jc w:val="left"/>
        <w:rPr>
          <w:rFonts w:ascii="Tahoma" w:eastAsia="微软雅黑" w:hAnsi="Tahoma" w:cstheme="minorBidi"/>
          <w:kern w:val="0"/>
          <w:sz w:val="22"/>
          <w:szCs w:val="22"/>
        </w:rPr>
      </w:pPr>
    </w:p>
    <w:p>
      <w:pPr>
        <w:widowControl/>
        <w:adjustRightInd w:val="0"/>
        <w:snapToGrid w:val="0"/>
        <w:spacing w:after="200" w:line="360" w:lineRule="auto"/>
        <w:ind w:firstLine="426"/>
        <w:jc w:val="left"/>
        <w:rPr>
          <w:rFonts w:asciiTheme="minorEastAsia" w:eastAsiaTheme="minorEastAsia" w:hAnsiTheme="minorEastAsia" w:cstheme="minorBidi"/>
          <w:color w:val="000000"/>
          <w:kern w:val="0"/>
          <w:sz w:val="22"/>
          <w:szCs w:val="22"/>
        </w:rPr>
      </w:pPr>
      <w:r>
        <w:rPr>
          <w:rFonts w:asciiTheme="minorEastAsia" w:eastAsiaTheme="minorEastAsia" w:hAnsiTheme="minorEastAsia" w:cstheme="minorBidi" w:hint="eastAsia"/>
          <w:color w:val="000000"/>
          <w:kern w:val="0"/>
          <w:sz w:val="22"/>
          <w:szCs w:val="22"/>
        </w:rPr>
        <w:t>为参加</w:t>
      </w:r>
      <w:r>
        <w:rPr>
          <w:rFonts w:asciiTheme="minorEastAsia" w:eastAsiaTheme="minorEastAsia" w:hAnsiTheme="minorEastAsia" w:cstheme="minorBidi" w:hint="eastAsia"/>
          <w:bCs/>
          <w:color w:val="000000"/>
          <w:kern w:val="0"/>
          <w:sz w:val="22"/>
          <w:szCs w:val="22"/>
        </w:rPr>
        <w:t>深圳市中正招标有限公司</w:t>
      </w:r>
      <w:r>
        <w:rPr>
          <w:rFonts w:asciiTheme="minorEastAsia" w:eastAsiaTheme="minorEastAsia" w:hAnsiTheme="minorEastAsia" w:cstheme="minorBidi" w:hint="eastAsia"/>
          <w:color w:val="000000"/>
          <w:kern w:val="0"/>
          <w:sz w:val="22"/>
          <w:szCs w:val="22"/>
        </w:rPr>
        <w:t>组织的</w:t>
      </w:r>
      <w:r>
        <w:rPr>
          <w:rFonts w:asciiTheme="minorEastAsia" w:eastAsiaTheme="minorEastAsia" w:hAnsiTheme="minorEastAsia" w:cstheme="minorBidi" w:hint="eastAsia"/>
          <w:color w:val="000000"/>
          <w:kern w:val="0"/>
          <w:sz w:val="22"/>
          <w:szCs w:val="22"/>
          <w:u w:val="single"/>
        </w:rPr>
        <w:t xml:space="preserve">  </w:t>
      </w:r>
      <w:r>
        <w:rPr>
          <w:rFonts w:asciiTheme="minorEastAsia" w:eastAsiaTheme="minorEastAsia" w:hAnsiTheme="minorEastAsia" w:cstheme="minorBidi"/>
          <w:color w:val="000000"/>
          <w:kern w:val="0"/>
          <w:sz w:val="22"/>
          <w:szCs w:val="22"/>
          <w:u w:val="single"/>
        </w:rPr>
        <w:t>（项目名称、项目编号）</w:t>
      </w:r>
      <w:r>
        <w:rPr>
          <w:rFonts w:asciiTheme="minorEastAsia" w:eastAsiaTheme="minorEastAsia" w:hAnsiTheme="minorEastAsia" w:cstheme="minorBidi" w:hint="eastAsia"/>
          <w:color w:val="000000"/>
          <w:kern w:val="0"/>
          <w:sz w:val="22"/>
          <w:szCs w:val="22"/>
          <w:u w:val="single"/>
        </w:rPr>
        <w:t xml:space="preserve"> </w:t>
      </w:r>
      <w:r>
        <w:rPr>
          <w:rFonts w:asciiTheme="minorEastAsia" w:eastAsiaTheme="minorEastAsia" w:hAnsiTheme="minorEastAsia" w:cstheme="minorBidi" w:hint="eastAsia"/>
          <w:color w:val="000000"/>
          <w:kern w:val="0"/>
          <w:sz w:val="22"/>
          <w:szCs w:val="22"/>
        </w:rPr>
        <w:t>的采购活动，（甲方）</w:t>
      </w:r>
      <w:r>
        <w:rPr>
          <w:rFonts w:asciiTheme="minorEastAsia" w:eastAsiaTheme="minorEastAsia" w:hAnsiTheme="minorEastAsia" w:cstheme="minorBidi" w:hint="eastAsia"/>
          <w:color w:val="000000"/>
          <w:kern w:val="0"/>
          <w:sz w:val="22"/>
          <w:szCs w:val="22"/>
          <w:u w:val="single"/>
        </w:rPr>
        <w:t xml:space="preserve">           </w:t>
      </w:r>
      <w:r>
        <w:rPr>
          <w:rFonts w:asciiTheme="minorEastAsia" w:eastAsiaTheme="minorEastAsia" w:hAnsiTheme="minorEastAsia" w:cstheme="minorBidi" w:hint="eastAsia"/>
          <w:color w:val="000000"/>
          <w:kern w:val="0"/>
          <w:sz w:val="22"/>
          <w:szCs w:val="22"/>
        </w:rPr>
        <w:t>与（乙方）</w:t>
      </w:r>
      <w:r>
        <w:rPr>
          <w:rFonts w:asciiTheme="minorEastAsia" w:eastAsiaTheme="minorEastAsia" w:hAnsiTheme="minorEastAsia" w:cstheme="minorBidi" w:hint="eastAsia"/>
          <w:color w:val="000000"/>
          <w:kern w:val="0"/>
          <w:sz w:val="22"/>
          <w:szCs w:val="22"/>
          <w:u w:val="single"/>
        </w:rPr>
        <w:t xml:space="preserve">           </w:t>
      </w:r>
      <w:r>
        <w:rPr>
          <w:rFonts w:asciiTheme="minorEastAsia" w:eastAsiaTheme="minorEastAsia" w:hAnsiTheme="minorEastAsia" w:cstheme="minorBidi" w:hint="eastAsia"/>
          <w:color w:val="000000"/>
          <w:kern w:val="0"/>
          <w:sz w:val="22"/>
          <w:szCs w:val="22"/>
        </w:rPr>
        <w:t>就组成联合体共同投标达成以下协议：</w:t>
      </w:r>
    </w:p>
    <w:p>
      <w:pPr>
        <w:widowControl/>
        <w:adjustRightInd w:val="0"/>
        <w:snapToGrid w:val="0"/>
        <w:spacing w:after="200" w:line="360" w:lineRule="auto"/>
        <w:ind w:firstLine="426"/>
        <w:jc w:val="left"/>
        <w:rPr>
          <w:rFonts w:asciiTheme="minorEastAsia" w:eastAsiaTheme="minorEastAsia" w:hAnsiTheme="minorEastAsia" w:cstheme="minorBidi"/>
          <w:color w:val="000000"/>
          <w:kern w:val="0"/>
          <w:sz w:val="22"/>
          <w:szCs w:val="22"/>
        </w:rPr>
      </w:pPr>
      <w:r>
        <w:rPr>
          <w:rFonts w:asciiTheme="minorEastAsia" w:eastAsiaTheme="minorEastAsia" w:hAnsiTheme="minorEastAsia" w:cstheme="minorBidi" w:hint="eastAsia"/>
          <w:color w:val="000000"/>
          <w:kern w:val="0"/>
          <w:sz w:val="22"/>
          <w:szCs w:val="22"/>
        </w:rPr>
        <w:t>1、甲方与乙方组成投标联合体，确定以</w:t>
      </w:r>
      <w:r>
        <w:rPr>
          <w:rFonts w:asciiTheme="minorEastAsia" w:eastAsiaTheme="minorEastAsia" w:hAnsiTheme="minorEastAsia" w:cstheme="minorBidi" w:hint="eastAsia"/>
          <w:color w:val="000000"/>
          <w:kern w:val="0"/>
          <w:sz w:val="22"/>
          <w:szCs w:val="22"/>
          <w:u w:val="single"/>
        </w:rPr>
        <w:t xml:space="preserve">            （单位名称）</w:t>
      </w:r>
      <w:r>
        <w:rPr>
          <w:rFonts w:asciiTheme="minorEastAsia" w:eastAsiaTheme="minorEastAsia" w:hAnsiTheme="minorEastAsia" w:cstheme="minorBidi" w:hint="eastAsia"/>
          <w:color w:val="000000"/>
          <w:kern w:val="0"/>
          <w:sz w:val="22"/>
          <w:szCs w:val="22"/>
        </w:rPr>
        <w:t>的名义作为一个投标人的身份参加以上项目的投标。</w:t>
      </w:r>
    </w:p>
    <w:p>
      <w:pPr>
        <w:widowControl/>
        <w:adjustRightInd w:val="0"/>
        <w:snapToGrid w:val="0"/>
        <w:spacing w:after="200" w:line="360" w:lineRule="auto"/>
        <w:ind w:firstLine="426"/>
        <w:jc w:val="left"/>
        <w:rPr>
          <w:rFonts w:asciiTheme="minorEastAsia" w:eastAsiaTheme="minorEastAsia" w:hAnsiTheme="minorEastAsia" w:cstheme="minorBidi"/>
          <w:color w:val="000000"/>
          <w:kern w:val="0"/>
          <w:sz w:val="22"/>
          <w:szCs w:val="22"/>
        </w:rPr>
      </w:pPr>
      <w:r>
        <w:rPr>
          <w:rFonts w:asciiTheme="minorEastAsia" w:eastAsiaTheme="minorEastAsia" w:hAnsiTheme="minorEastAsia" w:cstheme="minorBidi" w:hint="eastAsia"/>
          <w:color w:val="000000"/>
          <w:kern w:val="0"/>
          <w:sz w:val="22"/>
          <w:szCs w:val="22"/>
        </w:rPr>
        <w:t>2、本共同投标协议为投标文件的一部分，与中标后签署的合同协议书对甲乙双方均具有法律约束力。</w:t>
      </w:r>
    </w:p>
    <w:p>
      <w:pPr>
        <w:widowControl/>
        <w:adjustRightInd w:val="0"/>
        <w:snapToGrid w:val="0"/>
        <w:spacing w:after="200" w:line="360" w:lineRule="auto"/>
        <w:ind w:firstLine="426"/>
        <w:jc w:val="left"/>
        <w:rPr>
          <w:rFonts w:asciiTheme="minorEastAsia" w:eastAsiaTheme="minorEastAsia" w:hAnsiTheme="minorEastAsia" w:cstheme="minorBidi"/>
          <w:color w:val="000000"/>
          <w:kern w:val="0"/>
          <w:sz w:val="22"/>
          <w:szCs w:val="22"/>
        </w:rPr>
      </w:pPr>
      <w:r>
        <w:rPr>
          <w:rFonts w:asciiTheme="minorEastAsia" w:eastAsiaTheme="minorEastAsia" w:hAnsiTheme="minorEastAsia" w:cstheme="minorBidi" w:hint="eastAsia"/>
          <w:color w:val="000000"/>
          <w:kern w:val="0"/>
          <w:sz w:val="22"/>
          <w:szCs w:val="22"/>
        </w:rPr>
        <w:t>3、在联合体参加以上项目的投标中，甲方负责</w:t>
      </w:r>
      <w:r>
        <w:rPr>
          <w:rFonts w:asciiTheme="minorEastAsia" w:eastAsiaTheme="minorEastAsia" w:hAnsiTheme="minorEastAsia" w:cstheme="minorBidi" w:hint="eastAsia"/>
          <w:color w:val="000000"/>
          <w:kern w:val="0"/>
          <w:sz w:val="22"/>
          <w:szCs w:val="22"/>
          <w:u w:val="single"/>
        </w:rPr>
        <w:t xml:space="preserve">            </w:t>
      </w:r>
      <w:r>
        <w:rPr>
          <w:rFonts w:asciiTheme="minorEastAsia" w:eastAsiaTheme="minorEastAsia" w:hAnsiTheme="minorEastAsia" w:cstheme="minorBidi" w:hint="eastAsia"/>
          <w:color w:val="000000"/>
          <w:kern w:val="0"/>
          <w:sz w:val="22"/>
          <w:szCs w:val="22"/>
        </w:rPr>
        <w:t>，</w:t>
      </w:r>
      <w:r>
        <w:rPr>
          <w:rFonts w:asciiTheme="minorEastAsia" w:eastAsiaTheme="minorEastAsia" w:hAnsiTheme="minorEastAsia" w:cstheme="minorBidi" w:hint="eastAsia"/>
          <w:kern w:val="0"/>
          <w:sz w:val="22"/>
          <w:szCs w:val="22"/>
        </w:rPr>
        <w:t>承担合同总金额的</w:t>
      </w:r>
      <w:r>
        <w:rPr>
          <w:rFonts w:asciiTheme="minorEastAsia" w:eastAsiaTheme="minorEastAsia" w:hAnsiTheme="minorEastAsia" w:cstheme="minorBidi" w:hint="eastAsia"/>
          <w:kern w:val="0"/>
          <w:sz w:val="22"/>
          <w:szCs w:val="22"/>
          <w:u w:val="single"/>
        </w:rPr>
        <w:t xml:space="preserve">     </w:t>
      </w:r>
      <w:r>
        <w:rPr>
          <w:rFonts w:asciiTheme="minorEastAsia" w:eastAsiaTheme="minorEastAsia" w:hAnsiTheme="minorEastAsia" w:cstheme="minorBidi" w:hint="eastAsia"/>
          <w:kern w:val="0"/>
          <w:sz w:val="22"/>
          <w:szCs w:val="22"/>
        </w:rPr>
        <w:t>%；</w:t>
      </w:r>
      <w:r>
        <w:rPr>
          <w:rFonts w:asciiTheme="minorEastAsia" w:eastAsiaTheme="minorEastAsia" w:hAnsiTheme="minorEastAsia" w:cstheme="minorBidi" w:hint="eastAsia"/>
          <w:color w:val="000000"/>
          <w:kern w:val="0"/>
          <w:sz w:val="22"/>
          <w:szCs w:val="22"/>
        </w:rPr>
        <w:t>乙方负责</w:t>
      </w:r>
      <w:r>
        <w:rPr>
          <w:rFonts w:asciiTheme="minorEastAsia" w:eastAsiaTheme="minorEastAsia" w:hAnsiTheme="minorEastAsia" w:cstheme="minorBidi" w:hint="eastAsia"/>
          <w:color w:val="000000"/>
          <w:kern w:val="0"/>
          <w:sz w:val="22"/>
          <w:szCs w:val="22"/>
          <w:u w:val="single"/>
        </w:rPr>
        <w:t xml:space="preserve">             </w:t>
      </w:r>
      <w:r>
        <w:rPr>
          <w:rFonts w:asciiTheme="minorEastAsia" w:eastAsiaTheme="minorEastAsia" w:hAnsiTheme="minorEastAsia" w:cstheme="minorBidi" w:hint="eastAsia"/>
          <w:color w:val="000000"/>
          <w:kern w:val="0"/>
          <w:sz w:val="22"/>
          <w:szCs w:val="22"/>
        </w:rPr>
        <w:t>，</w:t>
      </w:r>
      <w:r>
        <w:rPr>
          <w:rFonts w:asciiTheme="minorEastAsia" w:eastAsiaTheme="minorEastAsia" w:hAnsiTheme="minorEastAsia" w:cstheme="minorBidi" w:hint="eastAsia"/>
          <w:kern w:val="0"/>
          <w:sz w:val="22"/>
          <w:szCs w:val="22"/>
        </w:rPr>
        <w:t>承担合同总金额的</w:t>
      </w:r>
      <w:r>
        <w:rPr>
          <w:rFonts w:asciiTheme="minorEastAsia" w:eastAsiaTheme="minorEastAsia" w:hAnsiTheme="minorEastAsia" w:cstheme="minorBidi" w:hint="eastAsia"/>
          <w:kern w:val="0"/>
          <w:sz w:val="22"/>
          <w:szCs w:val="22"/>
          <w:u w:val="single"/>
        </w:rPr>
        <w:t xml:space="preserve">     </w:t>
      </w:r>
      <w:r>
        <w:rPr>
          <w:rFonts w:asciiTheme="minorEastAsia" w:eastAsiaTheme="minorEastAsia" w:hAnsiTheme="minorEastAsia" w:cstheme="minorBidi" w:hint="eastAsia"/>
          <w:kern w:val="0"/>
          <w:sz w:val="22"/>
          <w:szCs w:val="22"/>
        </w:rPr>
        <w:t>%</w:t>
      </w:r>
      <w:r>
        <w:rPr>
          <w:rFonts w:asciiTheme="minorEastAsia" w:eastAsiaTheme="minorEastAsia" w:hAnsiTheme="minorEastAsia" w:cstheme="minorBidi" w:hint="eastAsia"/>
          <w:color w:val="000000"/>
          <w:kern w:val="0"/>
          <w:sz w:val="22"/>
          <w:szCs w:val="22"/>
        </w:rPr>
        <w:t>。</w:t>
      </w:r>
    </w:p>
    <w:p>
      <w:pPr>
        <w:widowControl/>
        <w:adjustRightInd w:val="0"/>
        <w:snapToGrid w:val="0"/>
        <w:spacing w:after="200" w:line="360" w:lineRule="auto"/>
        <w:ind w:firstLine="426"/>
        <w:jc w:val="left"/>
        <w:rPr>
          <w:rFonts w:asciiTheme="minorEastAsia" w:eastAsiaTheme="minorEastAsia" w:hAnsiTheme="minorEastAsia" w:cstheme="minorBidi"/>
          <w:color w:val="000000"/>
          <w:kern w:val="0"/>
          <w:sz w:val="22"/>
          <w:szCs w:val="22"/>
        </w:rPr>
      </w:pPr>
      <w:r>
        <w:rPr>
          <w:rFonts w:asciiTheme="minorEastAsia" w:eastAsiaTheme="minorEastAsia" w:hAnsiTheme="minorEastAsia" w:cstheme="minorBidi" w:hint="eastAsia"/>
          <w:color w:val="000000"/>
          <w:kern w:val="0"/>
          <w:sz w:val="22"/>
          <w:szCs w:val="22"/>
        </w:rPr>
        <w:t>4、联合体中标后，甲乙双方共同与采购人签订合同，为履行合同向采购人承担连带责任。</w:t>
      </w:r>
    </w:p>
    <w:p>
      <w:pPr>
        <w:widowControl/>
        <w:adjustRightInd w:val="0"/>
        <w:snapToGrid w:val="0"/>
        <w:spacing w:after="200" w:line="360" w:lineRule="auto"/>
        <w:ind w:firstLine="426"/>
        <w:jc w:val="left"/>
        <w:rPr>
          <w:rFonts w:asciiTheme="minorEastAsia" w:eastAsiaTheme="minorEastAsia" w:hAnsiTheme="minorEastAsia" w:cstheme="minorBidi"/>
          <w:color w:val="000000"/>
          <w:kern w:val="0"/>
          <w:sz w:val="22"/>
          <w:szCs w:val="22"/>
        </w:rPr>
      </w:pPr>
      <w:r>
        <w:rPr>
          <w:rFonts w:asciiTheme="minorEastAsia" w:eastAsiaTheme="minorEastAsia" w:hAnsiTheme="minorEastAsia" w:cstheme="minorBidi" w:hint="eastAsia"/>
          <w:color w:val="000000"/>
          <w:kern w:val="0"/>
          <w:sz w:val="22"/>
          <w:szCs w:val="22"/>
        </w:rPr>
        <w:t>5、甲乙双方不得再以自己的名义单独投标，也不得同时参加两个或两个以上的联合体投标。</w:t>
      </w:r>
    </w:p>
    <w:p>
      <w:pPr>
        <w:widowControl/>
        <w:adjustRightInd w:val="0"/>
        <w:snapToGrid w:val="0"/>
        <w:spacing w:after="200" w:line="360" w:lineRule="auto"/>
        <w:ind w:firstLine="426"/>
        <w:jc w:val="left"/>
        <w:rPr>
          <w:rFonts w:asciiTheme="minorEastAsia" w:eastAsiaTheme="minorEastAsia" w:hAnsiTheme="minorEastAsia" w:cstheme="minorBidi"/>
          <w:color w:val="000000"/>
          <w:kern w:val="0"/>
          <w:sz w:val="22"/>
          <w:szCs w:val="22"/>
        </w:rPr>
      </w:pPr>
      <w:r>
        <w:rPr>
          <w:rFonts w:asciiTheme="minorEastAsia" w:eastAsiaTheme="minorEastAsia" w:hAnsiTheme="minorEastAsia" w:cstheme="minorBidi" w:hint="eastAsia"/>
          <w:color w:val="000000"/>
          <w:kern w:val="0"/>
          <w:sz w:val="22"/>
          <w:szCs w:val="22"/>
        </w:rPr>
        <w:t>6、本协议一式三份，甲乙双方各执一份，一份提交采购人。</w:t>
      </w:r>
    </w:p>
    <w:p>
      <w:pPr>
        <w:widowControl/>
        <w:adjustRightInd w:val="0"/>
        <w:snapToGrid w:val="0"/>
        <w:spacing w:after="200" w:line="360" w:lineRule="auto"/>
        <w:ind w:firstLine="426"/>
        <w:jc w:val="left"/>
        <w:rPr>
          <w:rFonts w:asciiTheme="minorEastAsia" w:eastAsiaTheme="minorEastAsia" w:hAnsiTheme="minorEastAsia" w:cstheme="minorBidi"/>
          <w:color w:val="000000"/>
          <w:kern w:val="0"/>
          <w:sz w:val="22"/>
          <w:szCs w:val="22"/>
        </w:rPr>
      </w:pPr>
    </w:p>
    <w:p>
      <w:pPr>
        <w:widowControl/>
        <w:adjustRightInd w:val="0"/>
        <w:snapToGrid w:val="0"/>
        <w:spacing w:after="200" w:line="360" w:lineRule="auto"/>
        <w:ind w:firstLine="426"/>
        <w:jc w:val="left"/>
        <w:rPr>
          <w:rFonts w:asciiTheme="minorEastAsia" w:eastAsiaTheme="minorEastAsia" w:hAnsiTheme="minorEastAsia" w:cstheme="minorBidi"/>
          <w:color w:val="000000"/>
          <w:kern w:val="0"/>
          <w:sz w:val="22"/>
          <w:szCs w:val="22"/>
        </w:rPr>
      </w:pPr>
      <w:r>
        <w:rPr>
          <w:rFonts w:asciiTheme="minorEastAsia" w:eastAsiaTheme="minorEastAsia" w:hAnsiTheme="minorEastAsia" w:cstheme="minorBidi" w:hint="eastAsia"/>
          <w:color w:val="000000"/>
          <w:kern w:val="0"/>
          <w:sz w:val="22"/>
          <w:szCs w:val="22"/>
        </w:rPr>
        <w:t>（甲方全称）                                （乙方全称）</w:t>
      </w:r>
    </w:p>
    <w:p>
      <w:pPr>
        <w:widowControl/>
        <w:adjustRightInd w:val="0"/>
        <w:snapToGrid w:val="0"/>
        <w:spacing w:after="200" w:line="360" w:lineRule="auto"/>
        <w:ind w:firstLine="426"/>
        <w:jc w:val="left"/>
        <w:rPr>
          <w:rFonts w:asciiTheme="minorEastAsia" w:eastAsiaTheme="minorEastAsia" w:hAnsiTheme="minorEastAsia" w:cstheme="minorBidi"/>
          <w:color w:val="000000"/>
          <w:kern w:val="0"/>
          <w:sz w:val="22"/>
          <w:szCs w:val="22"/>
        </w:rPr>
      </w:pPr>
      <w:r>
        <w:rPr>
          <w:rFonts w:asciiTheme="minorEastAsia" w:eastAsiaTheme="minorEastAsia" w:hAnsiTheme="minorEastAsia" w:cstheme="minorBidi" w:hint="eastAsia"/>
          <w:color w:val="000000"/>
          <w:kern w:val="0"/>
          <w:sz w:val="22"/>
          <w:szCs w:val="22"/>
        </w:rPr>
        <w:t>（盖章）                                    （盖章）</w:t>
      </w:r>
    </w:p>
    <w:p>
      <w:pPr>
        <w:widowControl/>
        <w:adjustRightInd w:val="0"/>
        <w:snapToGrid w:val="0"/>
        <w:spacing w:after="200" w:line="360" w:lineRule="auto"/>
        <w:ind w:firstLine="426"/>
        <w:jc w:val="left"/>
        <w:rPr>
          <w:rFonts w:asciiTheme="minorEastAsia" w:eastAsiaTheme="minorEastAsia" w:hAnsiTheme="minorEastAsia" w:cstheme="minorBidi"/>
          <w:color w:val="000000"/>
          <w:kern w:val="0"/>
          <w:sz w:val="22"/>
          <w:szCs w:val="22"/>
        </w:rPr>
      </w:pPr>
    </w:p>
    <w:p>
      <w:pPr>
        <w:widowControl/>
        <w:adjustRightInd w:val="0"/>
        <w:snapToGrid w:val="0"/>
        <w:spacing w:after="200" w:line="360" w:lineRule="auto"/>
        <w:ind w:firstLine="405" w:firstLineChars="193"/>
        <w:jc w:val="left"/>
        <w:rPr>
          <w:rFonts w:asciiTheme="minorEastAsia" w:eastAsiaTheme="minorEastAsia" w:hAnsiTheme="minorEastAsia" w:cstheme="minorBidi"/>
          <w:color w:val="000000"/>
          <w:kern w:val="0"/>
          <w:sz w:val="22"/>
          <w:szCs w:val="22"/>
        </w:rPr>
      </w:pPr>
      <w:r>
        <w:rPr>
          <w:rFonts w:asciiTheme="minorEastAsia" w:eastAsiaTheme="minorEastAsia" w:hAnsiTheme="minorEastAsia" w:cstheme="minorBidi" w:hint="eastAsia"/>
          <w:color w:val="000000"/>
          <w:kern w:val="0"/>
          <w:sz w:val="22"/>
          <w:szCs w:val="22"/>
        </w:rPr>
        <w:t>日期：    年</w:t>
      </w:r>
      <w:r>
        <w:rPr>
          <w:rFonts w:asciiTheme="minorEastAsia" w:eastAsiaTheme="minorEastAsia" w:hAnsiTheme="minorEastAsia" w:cstheme="minorBidi" w:hint="eastAsia"/>
          <w:b/>
          <w:bCs/>
          <w:color w:val="000000"/>
          <w:kern w:val="0"/>
          <w:sz w:val="22"/>
          <w:szCs w:val="22"/>
        </w:rPr>
        <w:t xml:space="preserve">    </w:t>
      </w:r>
      <w:r>
        <w:rPr>
          <w:rFonts w:asciiTheme="minorEastAsia" w:eastAsiaTheme="minorEastAsia" w:hAnsiTheme="minorEastAsia" w:cstheme="minorBidi" w:hint="eastAsia"/>
          <w:color w:val="000000"/>
          <w:kern w:val="0"/>
          <w:sz w:val="22"/>
          <w:szCs w:val="22"/>
        </w:rPr>
        <w:t>月</w:t>
      </w:r>
      <w:r>
        <w:rPr>
          <w:rFonts w:asciiTheme="minorEastAsia" w:eastAsiaTheme="minorEastAsia" w:hAnsiTheme="minorEastAsia" w:cstheme="minorBidi" w:hint="eastAsia"/>
          <w:b/>
          <w:bCs/>
          <w:color w:val="000000"/>
          <w:kern w:val="0"/>
          <w:sz w:val="22"/>
          <w:szCs w:val="22"/>
        </w:rPr>
        <w:t xml:space="preserve">    </w:t>
      </w:r>
      <w:r>
        <w:rPr>
          <w:rFonts w:asciiTheme="minorEastAsia" w:eastAsiaTheme="minorEastAsia" w:hAnsiTheme="minorEastAsia" w:cstheme="minorBidi" w:hint="eastAsia"/>
          <w:color w:val="000000"/>
          <w:kern w:val="0"/>
          <w:sz w:val="22"/>
          <w:szCs w:val="22"/>
        </w:rPr>
        <w:t>日                    日期：     年</w:t>
      </w:r>
      <w:r>
        <w:rPr>
          <w:rFonts w:asciiTheme="minorEastAsia" w:eastAsiaTheme="minorEastAsia" w:hAnsiTheme="minorEastAsia" w:cstheme="minorBidi" w:hint="eastAsia"/>
          <w:b/>
          <w:bCs/>
          <w:color w:val="000000"/>
          <w:kern w:val="0"/>
          <w:sz w:val="22"/>
          <w:szCs w:val="22"/>
        </w:rPr>
        <w:t xml:space="preserve">    </w:t>
      </w:r>
      <w:r>
        <w:rPr>
          <w:rFonts w:asciiTheme="minorEastAsia" w:eastAsiaTheme="minorEastAsia" w:hAnsiTheme="minorEastAsia" w:cstheme="minorBidi" w:hint="eastAsia"/>
          <w:color w:val="000000"/>
          <w:kern w:val="0"/>
          <w:sz w:val="22"/>
          <w:szCs w:val="22"/>
        </w:rPr>
        <w:t>月</w:t>
      </w:r>
      <w:r>
        <w:rPr>
          <w:rFonts w:asciiTheme="minorEastAsia" w:eastAsiaTheme="minorEastAsia" w:hAnsiTheme="minorEastAsia" w:cstheme="minorBidi" w:hint="eastAsia"/>
          <w:b/>
          <w:bCs/>
          <w:color w:val="000000"/>
          <w:kern w:val="0"/>
          <w:sz w:val="22"/>
          <w:szCs w:val="22"/>
        </w:rPr>
        <w:t xml:space="preserve">    </w:t>
      </w:r>
      <w:r>
        <w:rPr>
          <w:rFonts w:asciiTheme="minorEastAsia" w:eastAsiaTheme="minorEastAsia" w:hAnsiTheme="minorEastAsia" w:cstheme="minorBidi" w:hint="eastAsia"/>
          <w:color w:val="000000"/>
          <w:kern w:val="0"/>
          <w:sz w:val="22"/>
          <w:szCs w:val="22"/>
        </w:rPr>
        <w:t>日</w:t>
      </w:r>
    </w:p>
    <w:p>
      <w:pPr>
        <w:ind w:firstLine="420" w:firstLineChars="200"/>
        <w:rPr>
          <w:rFonts w:cs="Courier New"/>
          <w:snapToGrid w:val="0"/>
          <w:szCs w:val="18"/>
        </w:rPr>
      </w:pPr>
    </w:p>
    <w:p>
      <w:pPr>
        <w:pStyle w:val="Heading3"/>
        <w:jc w:val="center"/>
        <w:rPr>
          <w:rFonts w:ascii="黑体" w:eastAsia="黑体"/>
          <w:b w:val="0"/>
          <w:sz w:val="24"/>
        </w:rPr>
      </w:pPr>
      <w:r>
        <w:rPr>
          <w:rFonts w:ascii="黑体" w:eastAsia="黑体" w:hint="eastAsia"/>
          <w:b w:val="0"/>
          <w:sz w:val="24"/>
        </w:rPr>
        <w:t>三、投标人情况介绍</w:t>
      </w:r>
    </w:p>
    <w:tbl>
      <w:tblPr>
        <w:tblStyle w:val="TableNormal"/>
        <w:tblW w:w="9137"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735"/>
        <w:gridCol w:w="2559"/>
        <w:gridCol w:w="4432"/>
        <w:gridCol w:w="1411"/>
      </w:tblGrid>
      <w:tr>
        <w:tblPrEx>
          <w:tblW w:w="9137"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0" w:type="dxa"/>
            <w:left w:w="108" w:type="dxa"/>
            <w:bottom w:w="0" w:type="dxa"/>
            <w:right w:w="108" w:type="dxa"/>
          </w:tblCellMar>
        </w:tblPrEx>
        <w:trPr>
          <w:cantSplit/>
          <w:trHeight w:val="20"/>
          <w:jc w:val="center"/>
        </w:trPr>
        <w:tc>
          <w:tcPr>
            <w:tcW w:w="735" w:type="dxa"/>
            <w:vAlign w:val="center"/>
          </w:tcPr>
          <w:p>
            <w:pPr>
              <w:spacing w:after="60"/>
              <w:jc w:val="center"/>
              <w:rPr>
                <w:rFonts w:ascii="宋体" w:hAnsi="宋体"/>
                <w:b/>
                <w:szCs w:val="21"/>
              </w:rPr>
            </w:pPr>
            <w:r>
              <w:rPr>
                <w:rFonts w:ascii="宋体" w:hAnsi="宋体" w:hint="eastAsia"/>
                <w:b/>
                <w:szCs w:val="21"/>
              </w:rPr>
              <w:t>序号</w:t>
            </w:r>
          </w:p>
        </w:tc>
        <w:tc>
          <w:tcPr>
            <w:tcW w:w="2559" w:type="dxa"/>
          </w:tcPr>
          <w:p>
            <w:pPr>
              <w:spacing w:after="60"/>
              <w:jc w:val="center"/>
              <w:rPr>
                <w:rFonts w:ascii="宋体" w:hAnsi="宋体"/>
                <w:b/>
                <w:szCs w:val="21"/>
              </w:rPr>
            </w:pPr>
            <w:r>
              <w:rPr>
                <w:rFonts w:ascii="宋体" w:hAnsi="宋体" w:hint="eastAsia"/>
                <w:b/>
                <w:szCs w:val="21"/>
              </w:rPr>
              <w:t>项</w:t>
            </w:r>
            <w:r>
              <w:rPr>
                <w:rFonts w:ascii="宋体" w:hAnsi="宋体"/>
                <w:b/>
                <w:szCs w:val="21"/>
              </w:rPr>
              <w:t xml:space="preserve">  </w:t>
            </w:r>
            <w:r>
              <w:rPr>
                <w:rFonts w:ascii="宋体" w:hAnsi="宋体" w:hint="eastAsia"/>
                <w:b/>
                <w:szCs w:val="21"/>
              </w:rPr>
              <w:t>目</w:t>
            </w:r>
          </w:p>
        </w:tc>
        <w:tc>
          <w:tcPr>
            <w:tcW w:w="4432" w:type="dxa"/>
            <w:vAlign w:val="center"/>
          </w:tcPr>
          <w:p>
            <w:pPr>
              <w:spacing w:after="60"/>
              <w:jc w:val="center"/>
              <w:rPr>
                <w:rFonts w:ascii="宋体" w:hAnsi="宋体"/>
                <w:b/>
                <w:szCs w:val="21"/>
              </w:rPr>
            </w:pPr>
            <w:r>
              <w:rPr>
                <w:rFonts w:ascii="宋体" w:hAnsi="宋体" w:hint="eastAsia"/>
                <w:b/>
                <w:szCs w:val="21"/>
              </w:rPr>
              <w:t>内容及说明</w:t>
            </w:r>
          </w:p>
        </w:tc>
        <w:tc>
          <w:tcPr>
            <w:tcW w:w="1411" w:type="dxa"/>
            <w:vAlign w:val="center"/>
          </w:tcPr>
          <w:p>
            <w:pPr>
              <w:spacing w:after="60"/>
              <w:jc w:val="center"/>
              <w:rPr>
                <w:rFonts w:ascii="宋体" w:hAnsi="宋体"/>
                <w:b/>
                <w:szCs w:val="21"/>
              </w:rPr>
            </w:pPr>
            <w:r>
              <w:rPr>
                <w:rFonts w:ascii="宋体" w:hAnsi="宋体" w:hint="eastAsia"/>
                <w:b/>
                <w:szCs w:val="21"/>
              </w:rPr>
              <w:t>备注</w:t>
            </w:r>
          </w:p>
        </w:tc>
      </w:tr>
      <w:tr>
        <w:tblPrEx>
          <w:tblW w:w="9137" w:type="dxa"/>
          <w:jc w:val="center"/>
          <w:tblLayout w:type="fixed"/>
          <w:tblCellMar>
            <w:top w:w="0" w:type="dxa"/>
            <w:left w:w="108" w:type="dxa"/>
            <w:bottom w:w="0" w:type="dxa"/>
            <w:right w:w="108" w:type="dxa"/>
          </w:tblCellMar>
        </w:tblPrEx>
        <w:trPr>
          <w:cantSplit/>
          <w:trHeight w:val="20"/>
          <w:jc w:val="center"/>
        </w:trPr>
        <w:tc>
          <w:tcPr>
            <w:tcW w:w="735" w:type="dxa"/>
            <w:vAlign w:val="center"/>
          </w:tcPr>
          <w:p>
            <w:pPr>
              <w:spacing w:after="60"/>
              <w:jc w:val="center"/>
              <w:rPr>
                <w:rFonts w:ascii="宋体" w:hAnsi="宋体"/>
                <w:b/>
                <w:szCs w:val="21"/>
              </w:rPr>
            </w:pPr>
            <w:r>
              <w:rPr>
                <w:rFonts w:ascii="宋体" w:hAnsi="宋体" w:hint="eastAsia"/>
                <w:b/>
                <w:szCs w:val="21"/>
              </w:rPr>
              <w:t>一</w:t>
            </w:r>
          </w:p>
        </w:tc>
        <w:tc>
          <w:tcPr>
            <w:tcW w:w="6991" w:type="dxa"/>
            <w:gridSpan w:val="2"/>
          </w:tcPr>
          <w:p>
            <w:pPr>
              <w:spacing w:after="60"/>
              <w:rPr>
                <w:rFonts w:ascii="宋体" w:hAnsi="宋体"/>
                <w:b/>
                <w:szCs w:val="21"/>
              </w:rPr>
            </w:pPr>
            <w:r>
              <w:rPr>
                <w:rFonts w:ascii="宋体" w:hAnsi="宋体" w:hint="eastAsia"/>
                <w:b/>
                <w:szCs w:val="21"/>
              </w:rPr>
              <w:t>营业执照</w:t>
            </w:r>
          </w:p>
        </w:tc>
        <w:tc>
          <w:tcPr>
            <w:tcW w:w="1411" w:type="dxa"/>
            <w:vAlign w:val="center"/>
          </w:tcPr>
          <w:p>
            <w:pPr>
              <w:spacing w:after="60"/>
              <w:jc w:val="center"/>
              <w:rPr>
                <w:rFonts w:ascii="宋体" w:hAnsi="宋体"/>
                <w:szCs w:val="21"/>
              </w:rPr>
            </w:pPr>
          </w:p>
        </w:tc>
      </w:tr>
      <w:tr>
        <w:tblPrEx>
          <w:tblW w:w="9137" w:type="dxa"/>
          <w:jc w:val="center"/>
          <w:tblLayout w:type="fixed"/>
          <w:tblCellMar>
            <w:top w:w="0" w:type="dxa"/>
            <w:left w:w="108" w:type="dxa"/>
            <w:bottom w:w="0" w:type="dxa"/>
            <w:right w:w="108" w:type="dxa"/>
          </w:tblCellMar>
        </w:tblPrEx>
        <w:trPr>
          <w:cantSplit/>
          <w:trHeight w:val="20"/>
          <w:jc w:val="center"/>
        </w:trPr>
        <w:tc>
          <w:tcPr>
            <w:tcW w:w="735" w:type="dxa"/>
            <w:vAlign w:val="center"/>
          </w:tcPr>
          <w:p>
            <w:pPr>
              <w:spacing w:after="60"/>
              <w:jc w:val="center"/>
              <w:rPr>
                <w:rFonts w:ascii="宋体" w:hAnsi="宋体"/>
                <w:szCs w:val="21"/>
              </w:rPr>
            </w:pPr>
            <w:r>
              <w:rPr>
                <w:rFonts w:ascii="宋体" w:hAnsi="宋体"/>
                <w:szCs w:val="21"/>
              </w:rPr>
              <w:t>1</w:t>
            </w:r>
          </w:p>
        </w:tc>
        <w:tc>
          <w:tcPr>
            <w:tcW w:w="2559" w:type="dxa"/>
            <w:vAlign w:val="center"/>
          </w:tcPr>
          <w:p>
            <w:pPr>
              <w:spacing w:after="60"/>
              <w:jc w:val="center"/>
              <w:rPr>
                <w:rFonts w:ascii="宋体" w:hAnsi="宋体"/>
                <w:szCs w:val="21"/>
              </w:rPr>
            </w:pPr>
            <w:r>
              <w:rPr>
                <w:rFonts w:ascii="宋体" w:hAnsi="宋体" w:hint="eastAsia"/>
                <w:szCs w:val="21"/>
              </w:rPr>
              <w:t>注册年度及注册编号</w:t>
            </w:r>
          </w:p>
        </w:tc>
        <w:tc>
          <w:tcPr>
            <w:tcW w:w="4432" w:type="dxa"/>
            <w:vAlign w:val="center"/>
          </w:tcPr>
          <w:p>
            <w:pPr>
              <w:spacing w:after="60"/>
              <w:rPr>
                <w:rFonts w:ascii="宋体" w:hAnsi="宋体"/>
                <w:szCs w:val="21"/>
              </w:rPr>
            </w:pPr>
          </w:p>
        </w:tc>
        <w:tc>
          <w:tcPr>
            <w:tcW w:w="1411" w:type="dxa"/>
            <w:vAlign w:val="center"/>
          </w:tcPr>
          <w:p>
            <w:pPr>
              <w:spacing w:after="60"/>
              <w:jc w:val="center"/>
              <w:rPr>
                <w:rFonts w:ascii="宋体" w:hAnsi="宋体"/>
                <w:szCs w:val="21"/>
              </w:rPr>
            </w:pPr>
          </w:p>
        </w:tc>
      </w:tr>
      <w:tr>
        <w:tblPrEx>
          <w:tblW w:w="9137" w:type="dxa"/>
          <w:jc w:val="center"/>
          <w:tblLayout w:type="fixed"/>
          <w:tblCellMar>
            <w:top w:w="0" w:type="dxa"/>
            <w:left w:w="108" w:type="dxa"/>
            <w:bottom w:w="0" w:type="dxa"/>
            <w:right w:w="108" w:type="dxa"/>
          </w:tblCellMar>
        </w:tblPrEx>
        <w:trPr>
          <w:cantSplit/>
          <w:trHeight w:val="20"/>
          <w:jc w:val="center"/>
        </w:trPr>
        <w:tc>
          <w:tcPr>
            <w:tcW w:w="735" w:type="dxa"/>
            <w:vAlign w:val="center"/>
          </w:tcPr>
          <w:p>
            <w:pPr>
              <w:spacing w:after="60"/>
              <w:jc w:val="center"/>
              <w:rPr>
                <w:rFonts w:ascii="宋体" w:hAnsi="宋体"/>
                <w:szCs w:val="21"/>
              </w:rPr>
            </w:pPr>
            <w:r>
              <w:rPr>
                <w:rFonts w:ascii="宋体" w:hAnsi="宋体"/>
                <w:szCs w:val="21"/>
              </w:rPr>
              <w:t>2</w:t>
            </w:r>
          </w:p>
        </w:tc>
        <w:tc>
          <w:tcPr>
            <w:tcW w:w="2559" w:type="dxa"/>
            <w:vAlign w:val="center"/>
          </w:tcPr>
          <w:p>
            <w:pPr>
              <w:spacing w:after="60"/>
              <w:jc w:val="center"/>
              <w:rPr>
                <w:rFonts w:ascii="宋体" w:hAnsi="宋体"/>
                <w:szCs w:val="21"/>
              </w:rPr>
            </w:pPr>
            <w:r>
              <w:rPr>
                <w:rFonts w:ascii="宋体" w:hAnsi="宋体" w:hint="eastAsia"/>
                <w:szCs w:val="21"/>
              </w:rPr>
              <w:t>注册资金（万元）</w:t>
            </w:r>
          </w:p>
        </w:tc>
        <w:tc>
          <w:tcPr>
            <w:tcW w:w="4432" w:type="dxa"/>
            <w:vAlign w:val="center"/>
          </w:tcPr>
          <w:p>
            <w:pPr>
              <w:spacing w:after="60"/>
              <w:rPr>
                <w:rFonts w:ascii="宋体" w:hAnsi="宋体"/>
                <w:szCs w:val="21"/>
              </w:rPr>
            </w:pPr>
          </w:p>
        </w:tc>
        <w:tc>
          <w:tcPr>
            <w:tcW w:w="1411" w:type="dxa"/>
            <w:vAlign w:val="center"/>
          </w:tcPr>
          <w:p>
            <w:pPr>
              <w:spacing w:after="60"/>
              <w:jc w:val="center"/>
              <w:rPr>
                <w:rFonts w:ascii="宋体" w:hAnsi="宋体"/>
                <w:szCs w:val="21"/>
              </w:rPr>
            </w:pPr>
          </w:p>
        </w:tc>
      </w:tr>
      <w:tr>
        <w:tblPrEx>
          <w:tblW w:w="9137" w:type="dxa"/>
          <w:jc w:val="center"/>
          <w:tblLayout w:type="fixed"/>
          <w:tblCellMar>
            <w:top w:w="0" w:type="dxa"/>
            <w:left w:w="108" w:type="dxa"/>
            <w:bottom w:w="0" w:type="dxa"/>
            <w:right w:w="108" w:type="dxa"/>
          </w:tblCellMar>
        </w:tblPrEx>
        <w:trPr>
          <w:cantSplit/>
          <w:trHeight w:val="20"/>
          <w:jc w:val="center"/>
        </w:trPr>
        <w:tc>
          <w:tcPr>
            <w:tcW w:w="735" w:type="dxa"/>
            <w:vAlign w:val="center"/>
          </w:tcPr>
          <w:p>
            <w:pPr>
              <w:spacing w:after="60"/>
              <w:jc w:val="center"/>
              <w:rPr>
                <w:rFonts w:ascii="宋体" w:hAnsi="宋体"/>
                <w:szCs w:val="21"/>
              </w:rPr>
            </w:pPr>
            <w:r>
              <w:rPr>
                <w:rFonts w:ascii="宋体" w:hAnsi="宋体" w:hint="eastAsia"/>
                <w:szCs w:val="21"/>
              </w:rPr>
              <w:t>3</w:t>
            </w:r>
          </w:p>
        </w:tc>
        <w:tc>
          <w:tcPr>
            <w:tcW w:w="2559" w:type="dxa"/>
            <w:vAlign w:val="center"/>
          </w:tcPr>
          <w:p>
            <w:pPr>
              <w:spacing w:after="60"/>
              <w:jc w:val="center"/>
              <w:rPr>
                <w:rFonts w:ascii="宋体" w:hAnsi="宋体"/>
                <w:szCs w:val="21"/>
              </w:rPr>
            </w:pPr>
            <w:r>
              <w:rPr>
                <w:rFonts w:ascii="宋体" w:hAnsi="宋体" w:hint="eastAsia"/>
                <w:szCs w:val="21"/>
              </w:rPr>
              <w:t>法定代表人</w:t>
            </w:r>
          </w:p>
        </w:tc>
        <w:tc>
          <w:tcPr>
            <w:tcW w:w="4432" w:type="dxa"/>
            <w:vAlign w:val="center"/>
          </w:tcPr>
          <w:p>
            <w:pPr>
              <w:spacing w:after="60"/>
              <w:rPr>
                <w:rFonts w:ascii="宋体" w:hAnsi="宋体"/>
                <w:szCs w:val="21"/>
              </w:rPr>
            </w:pPr>
          </w:p>
        </w:tc>
        <w:tc>
          <w:tcPr>
            <w:tcW w:w="1411" w:type="dxa"/>
            <w:vAlign w:val="center"/>
          </w:tcPr>
          <w:p>
            <w:pPr>
              <w:spacing w:after="60"/>
              <w:jc w:val="center"/>
              <w:rPr>
                <w:rFonts w:ascii="宋体" w:hAnsi="宋体"/>
                <w:szCs w:val="21"/>
              </w:rPr>
            </w:pPr>
          </w:p>
        </w:tc>
      </w:tr>
      <w:tr>
        <w:tblPrEx>
          <w:tblW w:w="9137" w:type="dxa"/>
          <w:jc w:val="center"/>
          <w:tblLayout w:type="fixed"/>
          <w:tblCellMar>
            <w:top w:w="0" w:type="dxa"/>
            <w:left w:w="108" w:type="dxa"/>
            <w:bottom w:w="0" w:type="dxa"/>
            <w:right w:w="108" w:type="dxa"/>
          </w:tblCellMar>
        </w:tblPrEx>
        <w:trPr>
          <w:cantSplit/>
          <w:trHeight w:val="20"/>
          <w:jc w:val="center"/>
        </w:trPr>
        <w:tc>
          <w:tcPr>
            <w:tcW w:w="735" w:type="dxa"/>
            <w:vAlign w:val="center"/>
          </w:tcPr>
          <w:p>
            <w:pPr>
              <w:spacing w:after="60"/>
              <w:jc w:val="center"/>
              <w:rPr>
                <w:rFonts w:ascii="宋体" w:hAnsi="宋体"/>
                <w:szCs w:val="21"/>
              </w:rPr>
            </w:pPr>
            <w:r>
              <w:rPr>
                <w:rFonts w:ascii="宋体" w:hAnsi="宋体" w:hint="eastAsia"/>
                <w:szCs w:val="21"/>
              </w:rPr>
              <w:t>4</w:t>
            </w:r>
          </w:p>
        </w:tc>
        <w:tc>
          <w:tcPr>
            <w:tcW w:w="2559" w:type="dxa"/>
            <w:vAlign w:val="center"/>
          </w:tcPr>
          <w:p>
            <w:pPr>
              <w:spacing w:after="60"/>
              <w:jc w:val="center"/>
              <w:rPr>
                <w:rFonts w:ascii="宋体" w:hAnsi="宋体"/>
                <w:szCs w:val="21"/>
              </w:rPr>
            </w:pPr>
            <w:r>
              <w:rPr>
                <w:rFonts w:ascii="宋体" w:hAnsi="宋体" w:hint="eastAsia"/>
                <w:szCs w:val="21"/>
              </w:rPr>
              <w:t>住所地</w:t>
            </w:r>
          </w:p>
        </w:tc>
        <w:tc>
          <w:tcPr>
            <w:tcW w:w="4432" w:type="dxa"/>
            <w:vAlign w:val="center"/>
          </w:tcPr>
          <w:p>
            <w:pPr>
              <w:spacing w:after="60"/>
              <w:rPr>
                <w:rFonts w:ascii="宋体" w:hAnsi="宋体"/>
                <w:szCs w:val="21"/>
              </w:rPr>
            </w:pPr>
          </w:p>
        </w:tc>
        <w:tc>
          <w:tcPr>
            <w:tcW w:w="1411" w:type="dxa"/>
            <w:vAlign w:val="center"/>
          </w:tcPr>
          <w:p>
            <w:pPr>
              <w:spacing w:after="60"/>
              <w:jc w:val="center"/>
              <w:rPr>
                <w:rFonts w:ascii="宋体" w:hAnsi="宋体"/>
                <w:szCs w:val="21"/>
              </w:rPr>
            </w:pPr>
          </w:p>
        </w:tc>
      </w:tr>
      <w:tr>
        <w:tblPrEx>
          <w:tblW w:w="9137" w:type="dxa"/>
          <w:jc w:val="center"/>
          <w:tblLayout w:type="fixed"/>
          <w:tblCellMar>
            <w:top w:w="0" w:type="dxa"/>
            <w:left w:w="108" w:type="dxa"/>
            <w:bottom w:w="0" w:type="dxa"/>
            <w:right w:w="108" w:type="dxa"/>
          </w:tblCellMar>
        </w:tblPrEx>
        <w:trPr>
          <w:cantSplit/>
          <w:trHeight w:val="20"/>
          <w:jc w:val="center"/>
        </w:trPr>
        <w:tc>
          <w:tcPr>
            <w:tcW w:w="735" w:type="dxa"/>
            <w:vAlign w:val="center"/>
          </w:tcPr>
          <w:p>
            <w:pPr>
              <w:spacing w:after="60"/>
              <w:jc w:val="center"/>
              <w:rPr>
                <w:rFonts w:ascii="宋体" w:hAnsi="宋体"/>
                <w:szCs w:val="21"/>
              </w:rPr>
            </w:pPr>
            <w:r>
              <w:rPr>
                <w:rFonts w:ascii="宋体" w:hAnsi="宋体" w:hint="eastAsia"/>
                <w:szCs w:val="21"/>
              </w:rPr>
              <w:t>5</w:t>
            </w:r>
          </w:p>
        </w:tc>
        <w:tc>
          <w:tcPr>
            <w:tcW w:w="2559" w:type="dxa"/>
            <w:vAlign w:val="center"/>
          </w:tcPr>
          <w:p>
            <w:pPr>
              <w:spacing w:after="60"/>
              <w:jc w:val="center"/>
              <w:rPr>
                <w:rFonts w:ascii="宋体" w:hAnsi="宋体"/>
                <w:szCs w:val="21"/>
              </w:rPr>
            </w:pPr>
            <w:r>
              <w:rPr>
                <w:rFonts w:ascii="宋体" w:hAnsi="宋体" w:hint="eastAsia"/>
                <w:szCs w:val="21"/>
              </w:rPr>
              <w:t>经营范围</w:t>
            </w:r>
          </w:p>
        </w:tc>
        <w:tc>
          <w:tcPr>
            <w:tcW w:w="4432" w:type="dxa"/>
            <w:vAlign w:val="center"/>
          </w:tcPr>
          <w:p>
            <w:pPr>
              <w:spacing w:after="60"/>
              <w:rPr>
                <w:rFonts w:ascii="宋体" w:hAnsi="宋体"/>
                <w:szCs w:val="21"/>
              </w:rPr>
            </w:pPr>
          </w:p>
        </w:tc>
        <w:tc>
          <w:tcPr>
            <w:tcW w:w="1411" w:type="dxa"/>
            <w:vAlign w:val="center"/>
          </w:tcPr>
          <w:p>
            <w:pPr>
              <w:spacing w:after="60"/>
              <w:jc w:val="center"/>
              <w:rPr>
                <w:rFonts w:ascii="宋体" w:hAnsi="宋体"/>
                <w:szCs w:val="21"/>
              </w:rPr>
            </w:pPr>
          </w:p>
        </w:tc>
      </w:tr>
      <w:tr>
        <w:tblPrEx>
          <w:tblW w:w="9137" w:type="dxa"/>
          <w:jc w:val="center"/>
          <w:tblLayout w:type="fixed"/>
          <w:tblCellMar>
            <w:top w:w="0" w:type="dxa"/>
            <w:left w:w="108" w:type="dxa"/>
            <w:bottom w:w="0" w:type="dxa"/>
            <w:right w:w="108" w:type="dxa"/>
          </w:tblCellMar>
        </w:tblPrEx>
        <w:trPr>
          <w:cantSplit/>
          <w:trHeight w:val="20"/>
          <w:jc w:val="center"/>
        </w:trPr>
        <w:tc>
          <w:tcPr>
            <w:tcW w:w="735" w:type="dxa"/>
            <w:vAlign w:val="center"/>
          </w:tcPr>
          <w:p>
            <w:pPr>
              <w:spacing w:after="60"/>
              <w:jc w:val="center"/>
              <w:rPr>
                <w:rFonts w:ascii="宋体" w:hAnsi="宋体"/>
                <w:szCs w:val="21"/>
              </w:rPr>
            </w:pPr>
            <w:r>
              <w:rPr>
                <w:rFonts w:ascii="宋体" w:hAnsi="宋体" w:hint="eastAsia"/>
                <w:szCs w:val="21"/>
              </w:rPr>
              <w:t>6</w:t>
            </w:r>
          </w:p>
        </w:tc>
        <w:tc>
          <w:tcPr>
            <w:tcW w:w="2559" w:type="dxa"/>
            <w:vAlign w:val="center"/>
          </w:tcPr>
          <w:p>
            <w:pPr>
              <w:spacing w:after="60"/>
              <w:jc w:val="center"/>
              <w:rPr>
                <w:rFonts w:ascii="宋体" w:hAnsi="宋体"/>
                <w:szCs w:val="21"/>
              </w:rPr>
            </w:pPr>
            <w:r>
              <w:rPr>
                <w:rFonts w:ascii="宋体" w:hAnsi="宋体" w:hint="eastAsia"/>
                <w:szCs w:val="21"/>
              </w:rPr>
              <w:t>开户银行及账号</w:t>
            </w:r>
          </w:p>
        </w:tc>
        <w:tc>
          <w:tcPr>
            <w:tcW w:w="4432" w:type="dxa"/>
            <w:vAlign w:val="center"/>
          </w:tcPr>
          <w:p>
            <w:pPr>
              <w:spacing w:after="60"/>
              <w:rPr>
                <w:rFonts w:ascii="宋体" w:hAnsi="宋体"/>
                <w:szCs w:val="21"/>
              </w:rPr>
            </w:pPr>
          </w:p>
        </w:tc>
        <w:tc>
          <w:tcPr>
            <w:tcW w:w="1411" w:type="dxa"/>
            <w:vAlign w:val="center"/>
          </w:tcPr>
          <w:p>
            <w:pPr>
              <w:spacing w:after="60"/>
              <w:jc w:val="center"/>
              <w:rPr>
                <w:rFonts w:ascii="宋体" w:hAnsi="宋体"/>
                <w:szCs w:val="21"/>
              </w:rPr>
            </w:pPr>
          </w:p>
        </w:tc>
      </w:tr>
      <w:tr>
        <w:tblPrEx>
          <w:tblW w:w="9137" w:type="dxa"/>
          <w:jc w:val="center"/>
          <w:tblLayout w:type="fixed"/>
          <w:tblCellMar>
            <w:top w:w="0" w:type="dxa"/>
            <w:left w:w="108" w:type="dxa"/>
            <w:bottom w:w="0" w:type="dxa"/>
            <w:right w:w="108" w:type="dxa"/>
          </w:tblCellMar>
        </w:tblPrEx>
        <w:trPr>
          <w:cantSplit/>
          <w:trHeight w:val="20"/>
          <w:jc w:val="center"/>
        </w:trPr>
        <w:tc>
          <w:tcPr>
            <w:tcW w:w="735" w:type="dxa"/>
            <w:vAlign w:val="center"/>
          </w:tcPr>
          <w:p>
            <w:pPr>
              <w:spacing w:after="60"/>
              <w:jc w:val="center"/>
              <w:rPr>
                <w:rFonts w:ascii="宋体" w:hAnsi="宋体"/>
                <w:szCs w:val="21"/>
              </w:rPr>
            </w:pPr>
            <w:r>
              <w:rPr>
                <w:rFonts w:ascii="宋体" w:hAnsi="宋体" w:hint="eastAsia"/>
                <w:szCs w:val="21"/>
              </w:rPr>
              <w:t>7</w:t>
            </w:r>
          </w:p>
        </w:tc>
        <w:tc>
          <w:tcPr>
            <w:tcW w:w="2559" w:type="dxa"/>
            <w:vAlign w:val="center"/>
          </w:tcPr>
          <w:p>
            <w:pPr>
              <w:spacing w:after="60"/>
              <w:jc w:val="center"/>
              <w:rPr>
                <w:rFonts w:ascii="宋体" w:hAnsi="宋体"/>
                <w:szCs w:val="21"/>
              </w:rPr>
            </w:pPr>
            <w:r>
              <w:rPr>
                <w:rFonts w:ascii="宋体" w:hAnsi="宋体" w:hint="eastAsia"/>
                <w:szCs w:val="21"/>
              </w:rPr>
              <w:t>联系方式</w:t>
            </w:r>
          </w:p>
        </w:tc>
        <w:tc>
          <w:tcPr>
            <w:tcW w:w="4432" w:type="dxa"/>
            <w:vAlign w:val="center"/>
          </w:tcPr>
          <w:p>
            <w:pPr>
              <w:spacing w:after="60"/>
              <w:rPr>
                <w:rFonts w:ascii="宋体" w:hAnsi="宋体"/>
                <w:szCs w:val="21"/>
              </w:rPr>
            </w:pPr>
          </w:p>
        </w:tc>
        <w:tc>
          <w:tcPr>
            <w:tcW w:w="1411" w:type="dxa"/>
            <w:vAlign w:val="center"/>
          </w:tcPr>
          <w:p>
            <w:pPr>
              <w:spacing w:after="60"/>
              <w:jc w:val="center"/>
              <w:rPr>
                <w:rFonts w:ascii="宋体" w:hAnsi="宋体"/>
                <w:szCs w:val="21"/>
              </w:rPr>
            </w:pPr>
          </w:p>
        </w:tc>
      </w:tr>
      <w:tr>
        <w:tblPrEx>
          <w:tblW w:w="9137" w:type="dxa"/>
          <w:jc w:val="center"/>
          <w:tblLayout w:type="fixed"/>
          <w:tblCellMar>
            <w:top w:w="0" w:type="dxa"/>
            <w:left w:w="108" w:type="dxa"/>
            <w:bottom w:w="0" w:type="dxa"/>
            <w:right w:w="108" w:type="dxa"/>
          </w:tblCellMar>
        </w:tblPrEx>
        <w:trPr>
          <w:cantSplit/>
          <w:trHeight w:val="20"/>
          <w:jc w:val="center"/>
        </w:trPr>
        <w:tc>
          <w:tcPr>
            <w:tcW w:w="735" w:type="dxa"/>
            <w:vAlign w:val="center"/>
          </w:tcPr>
          <w:p>
            <w:pPr>
              <w:spacing w:after="60"/>
              <w:jc w:val="center"/>
              <w:rPr>
                <w:rFonts w:ascii="宋体" w:hAnsi="宋体"/>
                <w:b/>
                <w:szCs w:val="21"/>
              </w:rPr>
            </w:pPr>
            <w:r>
              <w:rPr>
                <w:rFonts w:ascii="宋体" w:hAnsi="宋体" w:hint="eastAsia"/>
                <w:b/>
                <w:szCs w:val="21"/>
              </w:rPr>
              <w:t>二</w:t>
            </w:r>
          </w:p>
        </w:tc>
        <w:tc>
          <w:tcPr>
            <w:tcW w:w="2559" w:type="dxa"/>
            <w:vAlign w:val="center"/>
          </w:tcPr>
          <w:p>
            <w:pPr>
              <w:spacing w:after="60"/>
              <w:jc w:val="left"/>
              <w:rPr>
                <w:rFonts w:ascii="宋体" w:hAnsi="宋体"/>
                <w:b/>
                <w:szCs w:val="21"/>
              </w:rPr>
            </w:pPr>
            <w:r>
              <w:rPr>
                <w:rFonts w:ascii="宋体" w:hAnsi="宋体" w:hint="eastAsia"/>
                <w:b/>
                <w:szCs w:val="21"/>
              </w:rPr>
              <w:t>其他材料</w:t>
            </w:r>
          </w:p>
        </w:tc>
        <w:tc>
          <w:tcPr>
            <w:tcW w:w="4432" w:type="dxa"/>
            <w:vAlign w:val="center"/>
          </w:tcPr>
          <w:p>
            <w:pPr>
              <w:spacing w:after="60"/>
              <w:rPr>
                <w:rFonts w:ascii="宋体" w:hAnsi="宋体"/>
                <w:szCs w:val="21"/>
              </w:rPr>
            </w:pPr>
          </w:p>
        </w:tc>
        <w:tc>
          <w:tcPr>
            <w:tcW w:w="1411" w:type="dxa"/>
            <w:vAlign w:val="center"/>
          </w:tcPr>
          <w:p>
            <w:pPr>
              <w:spacing w:after="60"/>
              <w:jc w:val="center"/>
              <w:rPr>
                <w:rFonts w:ascii="宋体" w:hAnsi="宋体"/>
                <w:szCs w:val="21"/>
              </w:rPr>
            </w:pPr>
          </w:p>
        </w:tc>
      </w:tr>
    </w:tbl>
    <w:p>
      <w:pPr>
        <w:spacing w:line="360" w:lineRule="exact"/>
        <w:rPr>
          <w:bCs/>
          <w:szCs w:val="21"/>
        </w:rPr>
      </w:pPr>
      <w:r>
        <w:rPr>
          <w:rFonts w:hint="eastAsia"/>
          <w:bCs/>
          <w:szCs w:val="21"/>
        </w:rPr>
        <w:t>注：供应商应填写上述表格内容，并可根据自身情况自行对表格内容进行补充和完善。</w:t>
      </w:r>
    </w:p>
    <w:p>
      <w:pPr>
        <w:ind w:left="632" w:hanging="630" w:hangingChars="300"/>
        <w:rPr>
          <w:b/>
          <w:bCs/>
        </w:rPr>
      </w:pPr>
    </w:p>
    <w:p>
      <w:pPr>
        <w:rPr>
          <w:rFonts w:ascii="宋体" w:hAnsi="宋体"/>
          <w:szCs w:val="21"/>
        </w:rPr>
      </w:pPr>
      <w:r>
        <w:rPr>
          <w:rFonts w:hint="eastAsia"/>
          <w:szCs w:val="21"/>
          <w:u w:val="single"/>
        </w:rPr>
        <w:t>（备注：如联合体投标，联合体各方均需提供情况介绍）</w:t>
      </w:r>
    </w:p>
    <w:p>
      <w:pPr>
        <w:ind w:left="632" w:hanging="630" w:hangingChars="300"/>
        <w:rPr>
          <w:b/>
          <w:bCs/>
        </w:rPr>
      </w:pPr>
    </w:p>
    <w:p>
      <w:pPr>
        <w:ind w:left="632" w:hanging="630" w:hangingChars="300"/>
        <w:rPr>
          <w:b/>
          <w:bCs/>
        </w:rPr>
      </w:pPr>
    </w:p>
    <w:p>
      <w:pPr>
        <w:jc w:val="center"/>
        <w:outlineLvl w:val="3"/>
        <w:rPr>
          <w:rFonts w:ascii="黑体" w:eastAsia="黑体" w:hAnsi="宋体"/>
          <w:bCs/>
          <w:kern w:val="0"/>
          <w:sz w:val="24"/>
          <w:szCs w:val="32"/>
        </w:rPr>
      </w:pPr>
      <w:r>
        <w:rPr>
          <w:rFonts w:ascii="黑体" w:eastAsia="黑体" w:hAnsi="宋体" w:hint="eastAsia"/>
          <w:bCs/>
          <w:kern w:val="0"/>
          <w:sz w:val="24"/>
          <w:szCs w:val="32"/>
        </w:rPr>
        <w:t>四、中小企业声明函等符合政府采购扶持政策的证明材料</w:t>
      </w:r>
    </w:p>
    <w:p>
      <w:pPr>
        <w:jc w:val="left"/>
        <w:outlineLvl w:val="3"/>
        <w:rPr>
          <w:rFonts w:ascii="黑体" w:eastAsia="黑体" w:hAnsi="宋体"/>
          <w:bCs/>
          <w:kern w:val="0"/>
          <w:sz w:val="24"/>
          <w:szCs w:val="32"/>
        </w:rPr>
      </w:pPr>
    </w:p>
    <w:p>
      <w:pPr>
        <w:widowControl/>
        <w:snapToGrid w:val="0"/>
        <w:spacing w:line="360" w:lineRule="auto"/>
        <w:jc w:val="left"/>
        <w:outlineLvl w:val="4"/>
        <w:rPr>
          <w:rFonts w:ascii="仿宋" w:eastAsia="仿宋" w:hAnsi="仿宋"/>
          <w:b/>
          <w:bCs/>
          <w:kern w:val="0"/>
          <w:sz w:val="25"/>
          <w:szCs w:val="25"/>
        </w:rPr>
      </w:pPr>
      <w:r>
        <w:rPr>
          <w:rFonts w:ascii="仿宋" w:eastAsia="仿宋" w:hAnsi="仿宋" w:hint="eastAsia"/>
          <w:b/>
          <w:bCs/>
          <w:kern w:val="0"/>
          <w:sz w:val="25"/>
          <w:szCs w:val="25"/>
        </w:rPr>
        <w:t>填写指引：</w:t>
      </w:r>
    </w:p>
    <w:p>
      <w:pPr>
        <w:widowControl/>
        <w:snapToGrid w:val="0"/>
        <w:spacing w:line="360" w:lineRule="auto"/>
        <w:ind w:firstLine="424" w:firstLineChars="202"/>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1、该部分内容由投标人根据自身实际情况填写，投标人提供的声明函不属实的，属于提供虚假资料谋取中标，依照《中华人民共和国政府采购法》等国家有关规定追究相应责任。</w:t>
      </w:r>
    </w:p>
    <w:p>
      <w:pPr>
        <w:widowControl/>
        <w:snapToGrid w:val="0"/>
        <w:spacing w:line="360" w:lineRule="auto"/>
        <w:ind w:firstLine="426"/>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2、该部分内容填写需要参考的相关文件包括但不限于（具体内容详见附件）：</w:t>
      </w:r>
    </w:p>
    <w:p>
      <w:pPr>
        <w:widowControl/>
        <w:snapToGrid w:val="0"/>
        <w:spacing w:line="360" w:lineRule="auto"/>
        <w:ind w:firstLine="555"/>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w:t>
      </w:r>
      <w:r>
        <w:rPr>
          <w:rFonts w:asciiTheme="minorEastAsia" w:eastAsiaTheme="minorEastAsia" w:hAnsiTheme="minorEastAsia"/>
          <w:kern w:val="0"/>
          <w:szCs w:val="21"/>
        </w:rPr>
        <w:t>1</w:t>
      </w:r>
      <w:r>
        <w:rPr>
          <w:rFonts w:asciiTheme="minorEastAsia" w:eastAsiaTheme="minorEastAsia" w:hAnsiTheme="minorEastAsia" w:hint="eastAsia"/>
          <w:kern w:val="0"/>
          <w:szCs w:val="21"/>
        </w:rPr>
        <w:t>)</w:t>
      </w:r>
      <w:r>
        <w:rPr>
          <w:rFonts w:asciiTheme="minorEastAsia" w:eastAsiaTheme="minorEastAsia" w:hAnsiTheme="minorEastAsia" w:hint="eastAsia"/>
          <w:szCs w:val="21"/>
        </w:rPr>
        <w:t xml:space="preserve"> </w:t>
      </w:r>
      <w:r>
        <w:rPr>
          <w:rFonts w:asciiTheme="minorEastAsia" w:eastAsiaTheme="minorEastAsia" w:hAnsiTheme="minorEastAsia" w:hint="eastAsia"/>
          <w:kern w:val="0"/>
          <w:szCs w:val="21"/>
        </w:rPr>
        <w:t>财政部 工业和信息化部关于印发《政府采购促进中小企业发展管理办法》的通知（财库〔2020〕46号）</w:t>
      </w:r>
    </w:p>
    <w:p>
      <w:pPr>
        <w:widowControl/>
        <w:snapToGrid w:val="0"/>
        <w:spacing w:line="360" w:lineRule="auto"/>
        <w:ind w:firstLine="555"/>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w:t>
      </w:r>
      <w:r>
        <w:rPr>
          <w:rFonts w:asciiTheme="minorEastAsia" w:eastAsiaTheme="minorEastAsia" w:hAnsiTheme="minorEastAsia"/>
          <w:kern w:val="0"/>
          <w:szCs w:val="21"/>
        </w:rPr>
        <w:t>2</w:t>
      </w:r>
      <w:r>
        <w:rPr>
          <w:rFonts w:asciiTheme="minorEastAsia" w:eastAsiaTheme="minorEastAsia" w:hAnsiTheme="minorEastAsia" w:hint="eastAsia"/>
          <w:kern w:val="0"/>
          <w:szCs w:val="21"/>
        </w:rPr>
        <w:t>)</w:t>
      </w:r>
      <w:bookmarkStart w:id="11" w:name="_Hlk71925120"/>
      <w:r>
        <w:rPr>
          <w:rFonts w:asciiTheme="minorEastAsia" w:eastAsiaTheme="minorEastAsia" w:hAnsiTheme="minorEastAsia" w:hint="eastAsia"/>
          <w:kern w:val="0"/>
          <w:szCs w:val="21"/>
        </w:rPr>
        <w:t>《关于印发中小企业划型标准规定的通知》（工信部联企业〔2011〕300 号</w:t>
      </w:r>
      <w:bookmarkEnd w:id="11"/>
      <w:r>
        <w:rPr>
          <w:rFonts w:asciiTheme="minorEastAsia" w:eastAsiaTheme="minorEastAsia" w:hAnsiTheme="minorEastAsia" w:hint="eastAsia"/>
          <w:kern w:val="0"/>
          <w:szCs w:val="21"/>
        </w:rPr>
        <w:t>）</w:t>
      </w:r>
    </w:p>
    <w:p>
      <w:pPr>
        <w:widowControl/>
        <w:snapToGrid w:val="0"/>
        <w:spacing w:line="360" w:lineRule="auto"/>
        <w:ind w:firstLine="555"/>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(3)</w:t>
      </w:r>
      <w:r>
        <w:rPr>
          <w:rFonts w:asciiTheme="minorEastAsia" w:eastAsiaTheme="minorEastAsia" w:hAnsiTheme="minorEastAsia" w:hint="eastAsia"/>
          <w:szCs w:val="21"/>
        </w:rPr>
        <w:t xml:space="preserve"> </w:t>
      </w:r>
      <w:r>
        <w:rPr>
          <w:rFonts w:asciiTheme="minorEastAsia" w:eastAsiaTheme="minorEastAsia" w:hAnsiTheme="minorEastAsia" w:hint="eastAsia"/>
          <w:kern w:val="0"/>
          <w:szCs w:val="21"/>
        </w:rPr>
        <w:t>国家统计局关于印发《统计上大中小微型企业划分办法 （2017）》的通知（国统字〔2017〕213 号）</w:t>
      </w:r>
    </w:p>
    <w:p>
      <w:pPr>
        <w:widowControl/>
        <w:snapToGrid w:val="0"/>
        <w:spacing w:line="360" w:lineRule="auto"/>
        <w:ind w:firstLine="555"/>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(4)</w:t>
      </w:r>
      <w:r>
        <w:rPr>
          <w:rFonts w:asciiTheme="minorEastAsia" w:eastAsiaTheme="minorEastAsia" w:hAnsiTheme="minorEastAsia" w:hint="eastAsia"/>
          <w:szCs w:val="21"/>
        </w:rPr>
        <w:t xml:space="preserve"> </w:t>
      </w:r>
      <w:r>
        <w:rPr>
          <w:rFonts w:asciiTheme="minorEastAsia" w:eastAsiaTheme="minorEastAsia" w:hAnsiTheme="minorEastAsia" w:hint="eastAsia"/>
          <w:kern w:val="0"/>
          <w:szCs w:val="21"/>
        </w:rPr>
        <w:t>财政部 民政部 中国残疾人联合会关于促进残疾人就业 政府采购政策的通知（财库〔2017〕141号）</w:t>
      </w:r>
    </w:p>
    <w:p>
      <w:pPr>
        <w:widowControl/>
        <w:snapToGrid w:val="0"/>
        <w:spacing w:line="360" w:lineRule="auto"/>
        <w:ind w:firstLine="555"/>
        <w:jc w:val="left"/>
        <w:rPr>
          <w:rFonts w:asciiTheme="minorEastAsia" w:eastAsiaTheme="minorEastAsia" w:hAnsiTheme="minorEastAsia"/>
          <w:szCs w:val="21"/>
        </w:rPr>
      </w:pPr>
      <w:r>
        <w:rPr>
          <w:rFonts w:asciiTheme="minorEastAsia" w:eastAsiaTheme="minorEastAsia" w:hAnsiTheme="minorEastAsia" w:hint="eastAsia"/>
          <w:kern w:val="0"/>
          <w:szCs w:val="21"/>
        </w:rPr>
        <w:t>(5)</w:t>
      </w:r>
      <w:r>
        <w:rPr>
          <w:rFonts w:asciiTheme="minorEastAsia" w:eastAsiaTheme="minorEastAsia" w:hAnsiTheme="minorEastAsia" w:hint="eastAsia"/>
          <w:szCs w:val="21"/>
        </w:rPr>
        <w:t xml:space="preserve"> </w:t>
      </w:r>
      <w:r>
        <w:rPr>
          <w:rFonts w:asciiTheme="minorEastAsia" w:eastAsiaTheme="minorEastAsia" w:hAnsiTheme="minorEastAsia" w:hint="eastAsia"/>
          <w:kern w:val="0"/>
          <w:szCs w:val="21"/>
        </w:rPr>
        <w:t>财政部 司法部关于政府采购支持监狱企业发展有关问题的通知（财库〔2014〕68号）</w:t>
      </w:r>
    </w:p>
    <w:p>
      <w:pPr>
        <w:widowControl/>
        <w:snapToGrid w:val="0"/>
        <w:spacing w:line="360" w:lineRule="auto"/>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 xml:space="preserve">    3、请依照招标文件提供的格式和内容填写声明函，不要随意变更格式；声明函不需要盖章或签字；满足多项优惠政策的投标人，不重复享受多项价格扣除政策。</w:t>
      </w:r>
    </w:p>
    <w:p>
      <w:pPr>
        <w:widowControl/>
        <w:snapToGrid w:val="0"/>
        <w:spacing w:line="360" w:lineRule="auto"/>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 xml:space="preserve">    4、《中小企业声明函》填写要求：</w:t>
      </w:r>
    </w:p>
    <w:p>
      <w:pPr>
        <w:widowControl/>
        <w:snapToGrid w:val="0"/>
        <w:spacing w:line="360" w:lineRule="auto"/>
        <w:ind w:firstLine="424" w:firstLineChars="202"/>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（1）在“单位名称”下划线处如实填写</w:t>
      </w:r>
      <w:r>
        <w:rPr>
          <w:rFonts w:asciiTheme="minorEastAsia" w:eastAsiaTheme="minorEastAsia" w:hAnsiTheme="minorEastAsia" w:hint="eastAsia"/>
          <w:b/>
          <w:color w:val="FF0000"/>
          <w:kern w:val="0"/>
          <w:szCs w:val="21"/>
        </w:rPr>
        <w:t>采购人名称（详见采购人信息，非采购代理机构）</w:t>
      </w:r>
      <w:r>
        <w:rPr>
          <w:rFonts w:asciiTheme="minorEastAsia" w:eastAsiaTheme="minorEastAsia" w:hAnsiTheme="minorEastAsia" w:hint="eastAsia"/>
          <w:kern w:val="0"/>
          <w:szCs w:val="21"/>
        </w:rPr>
        <w:t>；</w:t>
      </w:r>
    </w:p>
    <w:p>
      <w:pPr>
        <w:widowControl/>
        <w:snapToGrid w:val="0"/>
        <w:spacing w:line="360" w:lineRule="auto"/>
        <w:ind w:firstLine="424" w:firstLineChars="202"/>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（2）在“项目名称”下划线处如实填写</w:t>
      </w:r>
      <w:r>
        <w:rPr>
          <w:rFonts w:asciiTheme="minorEastAsia" w:eastAsiaTheme="minorEastAsia" w:hAnsiTheme="minorEastAsia" w:hint="eastAsia"/>
          <w:b/>
          <w:color w:val="FF0000"/>
          <w:kern w:val="0"/>
          <w:szCs w:val="21"/>
        </w:rPr>
        <w:t>采购项目名称</w:t>
      </w:r>
      <w:r>
        <w:rPr>
          <w:rFonts w:asciiTheme="minorEastAsia" w:eastAsiaTheme="minorEastAsia" w:hAnsiTheme="minorEastAsia" w:hint="eastAsia"/>
          <w:kern w:val="0"/>
          <w:szCs w:val="21"/>
        </w:rPr>
        <w:t>；</w:t>
      </w:r>
    </w:p>
    <w:p>
      <w:pPr>
        <w:widowControl/>
        <w:snapToGrid w:val="0"/>
        <w:spacing w:line="360" w:lineRule="auto"/>
        <w:ind w:firstLine="424" w:firstLineChars="202"/>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（3）在“标的名称”下划线处填写</w:t>
      </w:r>
      <w:r>
        <w:rPr>
          <w:rFonts w:asciiTheme="minorEastAsia" w:eastAsiaTheme="minorEastAsia" w:hAnsiTheme="minorEastAsia" w:hint="eastAsia"/>
          <w:b/>
          <w:color w:val="FF0000"/>
          <w:kern w:val="0"/>
          <w:szCs w:val="21"/>
        </w:rPr>
        <w:t>采购标的（货物或服务或工程）的具体名称</w:t>
      </w:r>
      <w:r>
        <w:rPr>
          <w:rFonts w:asciiTheme="minorEastAsia" w:eastAsiaTheme="minorEastAsia" w:hAnsiTheme="minorEastAsia" w:hint="eastAsia"/>
          <w:b/>
          <w:bCs/>
          <w:color w:val="FF0000"/>
          <w:kern w:val="0"/>
          <w:szCs w:val="21"/>
        </w:rPr>
        <w:t>（具体详见第二章招标项目需求，如涉及多项标的，投标人需逐项进行响应）</w:t>
      </w:r>
      <w:r>
        <w:rPr>
          <w:rFonts w:asciiTheme="minorEastAsia" w:eastAsiaTheme="minorEastAsia" w:hAnsiTheme="minorEastAsia" w:hint="eastAsia"/>
          <w:kern w:val="0"/>
          <w:szCs w:val="21"/>
        </w:rPr>
        <w:t>；</w:t>
      </w:r>
    </w:p>
    <w:p>
      <w:pPr>
        <w:widowControl/>
        <w:snapToGrid w:val="0"/>
        <w:spacing w:line="360" w:lineRule="auto"/>
        <w:ind w:firstLine="424" w:firstLineChars="202"/>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（4）在“</w:t>
      </w:r>
      <w:r>
        <w:rPr>
          <w:rFonts w:asciiTheme="minorEastAsia" w:eastAsiaTheme="minorEastAsia" w:hAnsiTheme="minorEastAsia"/>
          <w:szCs w:val="21"/>
        </w:rPr>
        <w:t>采购文件</w:t>
      </w:r>
      <w:r>
        <w:rPr>
          <w:rFonts w:asciiTheme="minorEastAsia" w:eastAsiaTheme="minorEastAsia" w:hAnsiTheme="minorEastAsia" w:hint="eastAsia"/>
          <w:kern w:val="0"/>
          <w:szCs w:val="21"/>
        </w:rPr>
        <w:t>中明确的所属行业”下划线处填写</w:t>
      </w:r>
      <w:r>
        <w:rPr>
          <w:rFonts w:asciiTheme="minorEastAsia" w:eastAsiaTheme="minorEastAsia" w:hAnsiTheme="minorEastAsia" w:hint="eastAsia"/>
          <w:b/>
          <w:color w:val="FF0000"/>
          <w:kern w:val="0"/>
          <w:szCs w:val="21"/>
        </w:rPr>
        <w:t>采购文件规定的本项目所属行业</w:t>
      </w:r>
      <w:r>
        <w:rPr>
          <w:rFonts w:asciiTheme="minorEastAsia" w:eastAsiaTheme="minorEastAsia" w:hAnsiTheme="minorEastAsia" w:hint="eastAsia"/>
          <w:b/>
          <w:bCs/>
          <w:color w:val="FF0000"/>
          <w:kern w:val="0"/>
          <w:szCs w:val="21"/>
        </w:rPr>
        <w:t>（详见其它关键信息）</w:t>
      </w:r>
      <w:r>
        <w:rPr>
          <w:rFonts w:asciiTheme="minorEastAsia" w:eastAsiaTheme="minorEastAsia" w:hAnsiTheme="minorEastAsia" w:hint="eastAsia"/>
          <w:kern w:val="0"/>
          <w:szCs w:val="21"/>
        </w:rPr>
        <w:t>；</w:t>
      </w:r>
    </w:p>
    <w:p>
      <w:pPr>
        <w:widowControl/>
        <w:snapToGrid w:val="0"/>
        <w:spacing w:line="360" w:lineRule="auto"/>
        <w:ind w:firstLine="424" w:firstLineChars="202"/>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（5）在“从业人员”、“营业收入”、“资产总额”下划线处如实填写</w:t>
      </w:r>
      <w:r>
        <w:rPr>
          <w:rFonts w:asciiTheme="minorEastAsia" w:eastAsiaTheme="minorEastAsia" w:hAnsiTheme="minorEastAsia" w:hint="eastAsia"/>
          <w:b/>
          <w:color w:val="FF0000"/>
          <w:kern w:val="0"/>
          <w:szCs w:val="21"/>
        </w:rPr>
        <w:t>制造商（货物类）或承接企业（服务或工程类）</w:t>
      </w:r>
      <w:r>
        <w:rPr>
          <w:rFonts w:asciiTheme="minorEastAsia" w:eastAsiaTheme="minorEastAsia" w:hAnsiTheme="minorEastAsia" w:hint="eastAsia"/>
          <w:kern w:val="0"/>
          <w:szCs w:val="21"/>
        </w:rPr>
        <w:t>上一年度从业人员、营业收入、资产总额，无上一年度数据的新成立企业可以不填报；</w:t>
      </w:r>
    </w:p>
    <w:p>
      <w:pPr>
        <w:widowControl/>
        <w:snapToGrid w:val="0"/>
        <w:spacing w:line="360" w:lineRule="auto"/>
        <w:ind w:firstLine="424" w:firstLineChars="202"/>
        <w:jc w:val="left"/>
        <w:rPr>
          <w:rFonts w:asciiTheme="minorEastAsia" w:eastAsiaTheme="minorEastAsia" w:hAnsiTheme="minorEastAsia"/>
          <w:kern w:val="0"/>
          <w:szCs w:val="21"/>
        </w:rPr>
      </w:pPr>
      <w:r>
        <w:rPr>
          <w:rFonts w:asciiTheme="minorEastAsia" w:eastAsiaTheme="minorEastAsia" w:hAnsiTheme="minorEastAsia" w:hint="eastAsia"/>
          <w:kern w:val="0"/>
          <w:szCs w:val="21"/>
        </w:rPr>
        <w:t>（6）在“中型企业、小型企业、微型企业”下划线处如实依照工信部联企业〔2011〕300号文填写相应的企业类型；</w:t>
      </w:r>
    </w:p>
    <w:p>
      <w:pPr>
        <w:widowControl/>
        <w:snapToGrid w:val="0"/>
        <w:spacing w:line="360" w:lineRule="auto"/>
        <w:ind w:firstLine="424" w:firstLineChars="202"/>
        <w:jc w:val="left"/>
        <w:rPr>
          <w:rFonts w:asciiTheme="minorEastAsia" w:eastAsiaTheme="minorEastAsia" w:hAnsiTheme="minorEastAsia"/>
          <w:b/>
          <w:color w:val="FF0000"/>
          <w:kern w:val="0"/>
          <w:szCs w:val="21"/>
        </w:rPr>
      </w:pPr>
      <w:r>
        <w:rPr>
          <w:rFonts w:asciiTheme="minorEastAsia" w:eastAsiaTheme="minorEastAsia" w:hAnsiTheme="minorEastAsia" w:hint="eastAsia"/>
          <w:b/>
          <w:color w:val="FF0000"/>
          <w:kern w:val="0"/>
          <w:szCs w:val="21"/>
        </w:rPr>
        <w:t>（7）如为联合体投标或以分包形式投标的，需分别填写每家中小企业的企业名称、从业人员、营业收入、资产总额、企业类别（中型企业、小型企业、微型企业）等信息；</w:t>
      </w:r>
    </w:p>
    <w:p>
      <w:pPr>
        <w:widowControl/>
        <w:snapToGrid w:val="0"/>
        <w:spacing w:line="360" w:lineRule="auto"/>
        <w:ind w:firstLine="424" w:firstLineChars="202"/>
        <w:jc w:val="left"/>
        <w:rPr>
          <w:rFonts w:asciiTheme="minorEastAsia" w:eastAsiaTheme="minorEastAsia" w:hAnsiTheme="minorEastAsia"/>
          <w:b/>
          <w:color w:val="FF0000"/>
          <w:kern w:val="0"/>
          <w:szCs w:val="21"/>
        </w:rPr>
      </w:pPr>
      <w:r>
        <w:rPr>
          <w:rFonts w:asciiTheme="minorEastAsia" w:eastAsiaTheme="minorEastAsia" w:hAnsiTheme="minorEastAsia" w:hint="eastAsia"/>
          <w:b/>
          <w:color w:val="FF0000"/>
          <w:kern w:val="0"/>
          <w:szCs w:val="21"/>
        </w:rPr>
        <w:t>（8）</w:t>
      </w:r>
      <w:r>
        <w:rPr>
          <w:rFonts w:asciiTheme="minorHAnsi" w:eastAsiaTheme="minorEastAsia" w:hAnsiTheme="minorHAnsi" w:cstheme="minorBidi" w:hint="eastAsia"/>
          <w:b/>
          <w:color w:val="FF0000"/>
        </w:rPr>
        <w:t>《中小企业声明函》中制造商、承接/承建企业所属行业应当与招标文件要求的行业相一致</w:t>
      </w:r>
      <w:r>
        <w:rPr>
          <w:rFonts w:asciiTheme="minorHAnsi" w:eastAsiaTheme="minorEastAsia" w:hAnsiTheme="minorHAnsi" w:cstheme="minorBidi" w:hint="eastAsia"/>
        </w:rPr>
        <w:t>，供应商如有疑问，可根据《国民经济行业分类》（GB/T 4754-2017），结合《关于印发中小企业划型标准规定的通知》（工信部联企业〔2011〕300 号）进行判断。事业单位、社会组织等非企业主体不享受中小企业扶持政策，但事业单位、社会组织等非企业主体提供全部由中小企业制造的货物参加货物采购项目的除外。</w:t>
      </w:r>
    </w:p>
    <w:p>
      <w:pPr>
        <w:jc w:val="center"/>
        <w:outlineLvl w:val="3"/>
        <w:rPr>
          <w:rFonts w:ascii="黑体" w:eastAsia="黑体" w:hAnsi="宋体"/>
          <w:bCs/>
          <w:kern w:val="0"/>
          <w:sz w:val="24"/>
          <w:szCs w:val="32"/>
        </w:rPr>
      </w:pPr>
    </w:p>
    <w:p>
      <w:pPr>
        <w:spacing w:after="60"/>
        <w:jc w:val="center"/>
        <w:outlineLvl w:val="3"/>
        <w:rPr>
          <w:b/>
          <w:sz w:val="24"/>
        </w:rPr>
      </w:pPr>
      <w:r>
        <w:rPr>
          <w:rFonts w:hint="eastAsia"/>
          <w:b/>
          <w:sz w:val="24"/>
        </w:rPr>
        <w:t>1、中小企业声明函</w:t>
      </w:r>
    </w:p>
    <w:p>
      <w:pPr>
        <w:pStyle w:val="BodyText"/>
        <w:spacing w:line="360" w:lineRule="exact"/>
        <w:ind w:firstLine="412"/>
        <w:rPr>
          <w:rFonts w:asciiTheme="minorEastAsia" w:eastAsiaTheme="minorEastAsia" w:hAnsiTheme="minorEastAsia"/>
          <w:b w:val="0"/>
          <w:sz w:val="21"/>
          <w:szCs w:val="21"/>
        </w:rPr>
      </w:pPr>
      <w:r>
        <w:rPr>
          <w:rFonts w:asciiTheme="minorEastAsia" w:eastAsiaTheme="minorEastAsia" w:hAnsiTheme="minorEastAsia"/>
          <w:b w:val="0"/>
          <w:sz w:val="21"/>
          <w:szCs w:val="21"/>
        </w:rPr>
        <w:t>本公司（联合体）郑重声明，根据《政府采购促进中小企业发展管理办法》（财库</w:t>
      </w:r>
      <w:r>
        <w:rPr>
          <w:rFonts w:asciiTheme="minorEastAsia" w:eastAsiaTheme="minorEastAsia" w:hAnsiTheme="minorEastAsia" w:hint="eastAsia"/>
          <w:b w:val="0"/>
          <w:sz w:val="21"/>
          <w:szCs w:val="21"/>
        </w:rPr>
        <w:t>﹝</w:t>
      </w:r>
      <w:r>
        <w:rPr>
          <w:rFonts w:asciiTheme="minorEastAsia" w:eastAsiaTheme="minorEastAsia" w:hAnsiTheme="minorEastAsia"/>
          <w:b w:val="0"/>
          <w:sz w:val="21"/>
          <w:szCs w:val="21"/>
        </w:rPr>
        <w:t>2020</w:t>
      </w:r>
      <w:r>
        <w:rPr>
          <w:rFonts w:asciiTheme="minorEastAsia" w:eastAsiaTheme="minorEastAsia" w:hAnsiTheme="minorEastAsia" w:hint="eastAsia"/>
          <w:b w:val="0"/>
          <w:sz w:val="21"/>
          <w:szCs w:val="21"/>
        </w:rPr>
        <w:t>﹞</w:t>
      </w:r>
      <w:r>
        <w:rPr>
          <w:rFonts w:asciiTheme="minorEastAsia" w:eastAsiaTheme="minorEastAsia" w:hAnsiTheme="minorEastAsia"/>
          <w:b w:val="0"/>
          <w:sz w:val="21"/>
          <w:szCs w:val="21"/>
        </w:rPr>
        <w:t>46 号）的规定，本公司（联合体）参加</w:t>
      </w:r>
      <w:r>
        <w:rPr>
          <w:rFonts w:asciiTheme="minorEastAsia" w:eastAsiaTheme="minorEastAsia" w:hAnsiTheme="minorEastAsia"/>
          <w:b w:val="0"/>
          <w:sz w:val="21"/>
          <w:szCs w:val="21"/>
          <w:u w:val="single"/>
        </w:rPr>
        <w:t>（单位名称）</w:t>
      </w:r>
      <w:r>
        <w:rPr>
          <w:rFonts w:asciiTheme="minorEastAsia" w:eastAsiaTheme="minorEastAsia" w:hAnsiTheme="minorEastAsia"/>
          <w:b w:val="0"/>
          <w:sz w:val="21"/>
          <w:szCs w:val="21"/>
        </w:rPr>
        <w:t>的</w:t>
      </w:r>
      <w:r>
        <w:rPr>
          <w:rFonts w:asciiTheme="minorEastAsia" w:eastAsiaTheme="minorEastAsia" w:hAnsiTheme="minorEastAsia"/>
          <w:b w:val="0"/>
          <w:sz w:val="21"/>
          <w:szCs w:val="21"/>
          <w:u w:val="single"/>
        </w:rPr>
        <w:t>（项目名称）</w:t>
      </w:r>
      <w:r>
        <w:rPr>
          <w:rFonts w:asciiTheme="minorEastAsia" w:eastAsiaTheme="minorEastAsia" w:hAnsiTheme="minorEastAsia"/>
          <w:b w:val="0"/>
          <w:sz w:val="21"/>
          <w:szCs w:val="21"/>
        </w:rPr>
        <w:t>采购活动，</w:t>
      </w:r>
      <w:r>
        <w:rPr>
          <w:rFonts w:asciiTheme="minorEastAsia" w:eastAsiaTheme="minorEastAsia" w:hAnsiTheme="minorEastAsia" w:hint="eastAsia"/>
          <w:b w:val="0"/>
          <w:sz w:val="21"/>
          <w:szCs w:val="21"/>
        </w:rPr>
        <w:t>服务全部由符合政策要求的中小企业承接</w:t>
      </w:r>
      <w:r>
        <w:rPr>
          <w:rFonts w:asciiTheme="minorEastAsia" w:eastAsiaTheme="minorEastAsia" w:hAnsiTheme="minorEastAsia"/>
          <w:b w:val="0"/>
          <w:sz w:val="21"/>
          <w:szCs w:val="21"/>
        </w:rPr>
        <w:t>。相关企业（含联合体中的中小企业、签订分包意向协议的中小企业）的具体情况如下：</w:t>
      </w:r>
    </w:p>
    <w:p>
      <w:pPr>
        <w:pStyle w:val="BodyText"/>
        <w:spacing w:line="360" w:lineRule="exact"/>
        <w:ind w:firstLine="412"/>
        <w:rPr>
          <w:rFonts w:asciiTheme="minorEastAsia" w:eastAsiaTheme="minorEastAsia" w:hAnsiTheme="minorEastAsia"/>
          <w:b w:val="0"/>
          <w:sz w:val="21"/>
          <w:szCs w:val="21"/>
        </w:rPr>
      </w:pPr>
      <w:r>
        <w:rPr>
          <w:rFonts w:asciiTheme="minorEastAsia" w:eastAsiaTheme="minorEastAsia" w:hAnsiTheme="minorEastAsia" w:hint="eastAsia"/>
          <w:b w:val="0"/>
          <w:sz w:val="21"/>
          <w:szCs w:val="21"/>
        </w:rPr>
        <w:t xml:space="preserve">1. </w:t>
      </w:r>
      <w:r>
        <w:rPr>
          <w:rFonts w:asciiTheme="minorEastAsia" w:eastAsiaTheme="minorEastAsia" w:hAnsiTheme="minorEastAsia"/>
          <w:b w:val="0"/>
          <w:sz w:val="21"/>
          <w:szCs w:val="21"/>
          <w:u w:val="single"/>
        </w:rPr>
        <w:t>（标的名称）</w:t>
      </w:r>
      <w:r>
        <w:rPr>
          <w:rFonts w:asciiTheme="minorEastAsia" w:eastAsiaTheme="minorEastAsia" w:hAnsiTheme="minorEastAsia"/>
          <w:b w:val="0"/>
          <w:sz w:val="21"/>
          <w:szCs w:val="21"/>
        </w:rPr>
        <w:t>，属于</w:t>
      </w:r>
      <w:r>
        <w:rPr>
          <w:rFonts w:asciiTheme="minorEastAsia" w:eastAsiaTheme="minorEastAsia" w:hAnsiTheme="minorEastAsia"/>
          <w:b w:val="0"/>
          <w:sz w:val="21"/>
          <w:szCs w:val="21"/>
          <w:u w:val="single"/>
        </w:rPr>
        <w:t>（采购文件中明确的所属行业）</w:t>
      </w:r>
      <w:r>
        <w:rPr>
          <w:rFonts w:asciiTheme="minorEastAsia" w:eastAsiaTheme="minorEastAsia" w:hAnsiTheme="minorEastAsia"/>
          <w:b w:val="0"/>
          <w:sz w:val="21"/>
          <w:szCs w:val="21"/>
        </w:rPr>
        <w:t>；承接企业为</w:t>
      </w:r>
      <w:r>
        <w:rPr>
          <w:rFonts w:asciiTheme="minorEastAsia" w:eastAsiaTheme="minorEastAsia" w:hAnsiTheme="minorEastAsia"/>
          <w:b w:val="0"/>
          <w:sz w:val="21"/>
          <w:szCs w:val="21"/>
          <w:u w:val="single"/>
        </w:rPr>
        <w:t>（企业名称）</w:t>
      </w:r>
      <w:r>
        <w:rPr>
          <w:rFonts w:asciiTheme="minorEastAsia" w:eastAsiaTheme="minorEastAsia" w:hAnsiTheme="minorEastAsia"/>
          <w:b w:val="0"/>
          <w:sz w:val="21"/>
          <w:szCs w:val="21"/>
        </w:rPr>
        <w:t>，从业人员</w:t>
      </w:r>
      <w:r>
        <w:rPr>
          <w:rFonts w:asciiTheme="minorEastAsia" w:eastAsiaTheme="minorEastAsia" w:hAnsiTheme="minorEastAsia"/>
          <w:b w:val="0"/>
          <w:sz w:val="21"/>
          <w:szCs w:val="21"/>
          <w:u w:val="single"/>
        </w:rPr>
        <w:t xml:space="preserve"> </w:t>
      </w:r>
      <w:r>
        <w:rPr>
          <w:rFonts w:asciiTheme="minorEastAsia" w:eastAsiaTheme="minorEastAsia" w:hAnsiTheme="minorEastAsia"/>
          <w:b w:val="0"/>
          <w:sz w:val="21"/>
          <w:szCs w:val="21"/>
          <w:u w:val="single"/>
        </w:rPr>
        <w:tab/>
      </w:r>
      <w:r>
        <w:rPr>
          <w:rFonts w:asciiTheme="minorEastAsia" w:eastAsiaTheme="minorEastAsia" w:hAnsiTheme="minorEastAsia"/>
          <w:b w:val="0"/>
          <w:sz w:val="21"/>
          <w:szCs w:val="21"/>
        </w:rPr>
        <w:t>人，营业收入为</w:t>
      </w:r>
      <w:r>
        <w:rPr>
          <w:rFonts w:asciiTheme="minorEastAsia" w:eastAsiaTheme="minorEastAsia" w:hAnsiTheme="minorEastAsia"/>
          <w:b w:val="0"/>
          <w:sz w:val="21"/>
          <w:szCs w:val="21"/>
          <w:u w:val="single"/>
        </w:rPr>
        <w:t xml:space="preserve"> </w:t>
      </w:r>
      <w:r>
        <w:rPr>
          <w:rFonts w:asciiTheme="minorEastAsia" w:eastAsiaTheme="minorEastAsia" w:hAnsiTheme="minorEastAsia"/>
          <w:b w:val="0"/>
          <w:sz w:val="21"/>
          <w:szCs w:val="21"/>
          <w:u w:val="single"/>
        </w:rPr>
        <w:tab/>
      </w:r>
      <w:r>
        <w:rPr>
          <w:rFonts w:asciiTheme="minorEastAsia" w:eastAsiaTheme="minorEastAsia" w:hAnsiTheme="minorEastAsia" w:hint="eastAsia"/>
          <w:b w:val="0"/>
          <w:sz w:val="21"/>
          <w:szCs w:val="21"/>
          <w:u w:val="single"/>
        </w:rPr>
        <w:t xml:space="preserve">  </w:t>
      </w:r>
      <w:r>
        <w:rPr>
          <w:rFonts w:asciiTheme="minorEastAsia" w:eastAsiaTheme="minorEastAsia" w:hAnsiTheme="minorEastAsia"/>
          <w:b w:val="0"/>
          <w:sz w:val="21"/>
          <w:szCs w:val="21"/>
        </w:rPr>
        <w:t>万元，资产总额为</w:t>
      </w:r>
      <w:r>
        <w:rPr>
          <w:rFonts w:asciiTheme="minorEastAsia" w:eastAsiaTheme="minorEastAsia" w:hAnsiTheme="minorEastAsia" w:hint="eastAsia"/>
          <w:b w:val="0"/>
          <w:sz w:val="21"/>
          <w:szCs w:val="21"/>
          <w:u w:val="single"/>
        </w:rPr>
        <w:t xml:space="preserve">     </w:t>
      </w:r>
      <w:r>
        <w:rPr>
          <w:rFonts w:asciiTheme="minorEastAsia" w:eastAsiaTheme="minorEastAsia" w:hAnsiTheme="minorEastAsia"/>
          <w:b w:val="0"/>
          <w:sz w:val="21"/>
          <w:szCs w:val="21"/>
        </w:rPr>
        <w:t>万元，属于</w:t>
      </w:r>
      <w:r>
        <w:rPr>
          <w:rFonts w:asciiTheme="minorEastAsia" w:eastAsiaTheme="minorEastAsia" w:hAnsiTheme="minorEastAsia"/>
          <w:b w:val="0"/>
          <w:sz w:val="21"/>
          <w:szCs w:val="21"/>
          <w:u w:val="single"/>
        </w:rPr>
        <w:t>（中型企业、小型企业、微型企业）</w:t>
      </w:r>
      <w:r>
        <w:rPr>
          <w:rFonts w:asciiTheme="minorEastAsia" w:eastAsiaTheme="minorEastAsia" w:hAnsiTheme="minorEastAsia"/>
          <w:b w:val="0"/>
          <w:sz w:val="21"/>
          <w:szCs w:val="21"/>
        </w:rPr>
        <w:t>；</w:t>
      </w:r>
    </w:p>
    <w:p>
      <w:pPr>
        <w:pStyle w:val="BodyText"/>
        <w:spacing w:line="360" w:lineRule="exact"/>
        <w:ind w:firstLine="412"/>
        <w:rPr>
          <w:rFonts w:asciiTheme="minorEastAsia" w:eastAsiaTheme="minorEastAsia" w:hAnsiTheme="minorEastAsia"/>
          <w:b w:val="0"/>
          <w:sz w:val="21"/>
          <w:szCs w:val="21"/>
        </w:rPr>
      </w:pPr>
      <w:r>
        <w:rPr>
          <w:rFonts w:asciiTheme="minorEastAsia" w:eastAsiaTheme="minorEastAsia" w:hAnsiTheme="minorEastAsia" w:hint="eastAsia"/>
          <w:b w:val="0"/>
          <w:sz w:val="21"/>
          <w:szCs w:val="21"/>
        </w:rPr>
        <w:t xml:space="preserve">2. </w:t>
      </w:r>
      <w:r>
        <w:rPr>
          <w:rFonts w:asciiTheme="minorEastAsia" w:eastAsiaTheme="minorEastAsia" w:hAnsiTheme="minorEastAsia"/>
          <w:b w:val="0"/>
          <w:sz w:val="21"/>
          <w:szCs w:val="21"/>
          <w:u w:val="single"/>
        </w:rPr>
        <w:t>（标的名称）</w:t>
      </w:r>
      <w:r>
        <w:rPr>
          <w:rFonts w:asciiTheme="minorEastAsia" w:eastAsiaTheme="minorEastAsia" w:hAnsiTheme="minorEastAsia"/>
          <w:b w:val="0"/>
          <w:sz w:val="21"/>
          <w:szCs w:val="21"/>
        </w:rPr>
        <w:t>，属于</w:t>
      </w:r>
      <w:r>
        <w:rPr>
          <w:rFonts w:asciiTheme="minorEastAsia" w:eastAsiaTheme="minorEastAsia" w:hAnsiTheme="minorEastAsia"/>
          <w:b w:val="0"/>
          <w:sz w:val="21"/>
          <w:szCs w:val="21"/>
          <w:u w:val="single"/>
        </w:rPr>
        <w:t>（采购文件中明确的所属行业）</w:t>
      </w:r>
      <w:r>
        <w:rPr>
          <w:rFonts w:asciiTheme="minorEastAsia" w:eastAsiaTheme="minorEastAsia" w:hAnsiTheme="minorEastAsia"/>
          <w:b w:val="0"/>
          <w:sz w:val="21"/>
          <w:szCs w:val="21"/>
        </w:rPr>
        <w:t>；承接企业为</w:t>
      </w:r>
      <w:r>
        <w:rPr>
          <w:rFonts w:asciiTheme="minorEastAsia" w:eastAsiaTheme="minorEastAsia" w:hAnsiTheme="minorEastAsia"/>
          <w:b w:val="0"/>
          <w:sz w:val="21"/>
          <w:szCs w:val="21"/>
          <w:u w:val="single"/>
        </w:rPr>
        <w:t>（企业名称）</w:t>
      </w:r>
      <w:r>
        <w:rPr>
          <w:rFonts w:asciiTheme="minorEastAsia" w:eastAsiaTheme="minorEastAsia" w:hAnsiTheme="minorEastAsia"/>
          <w:b w:val="0"/>
          <w:sz w:val="21"/>
          <w:szCs w:val="21"/>
        </w:rPr>
        <w:t>，从业人员</w:t>
      </w:r>
      <w:r>
        <w:rPr>
          <w:rFonts w:asciiTheme="minorEastAsia" w:eastAsiaTheme="minorEastAsia" w:hAnsiTheme="minorEastAsia"/>
          <w:b w:val="0"/>
          <w:sz w:val="21"/>
          <w:szCs w:val="21"/>
          <w:u w:val="single"/>
        </w:rPr>
        <w:t xml:space="preserve"> </w:t>
      </w:r>
      <w:r>
        <w:rPr>
          <w:rFonts w:asciiTheme="minorEastAsia" w:eastAsiaTheme="minorEastAsia" w:hAnsiTheme="minorEastAsia"/>
          <w:b w:val="0"/>
          <w:sz w:val="21"/>
          <w:szCs w:val="21"/>
          <w:u w:val="single"/>
        </w:rPr>
        <w:tab/>
      </w:r>
      <w:r>
        <w:rPr>
          <w:rFonts w:asciiTheme="minorEastAsia" w:eastAsiaTheme="minorEastAsia" w:hAnsiTheme="minorEastAsia"/>
          <w:b w:val="0"/>
          <w:sz w:val="21"/>
          <w:szCs w:val="21"/>
        </w:rPr>
        <w:t>人，营业收入为</w:t>
      </w:r>
      <w:r>
        <w:rPr>
          <w:rFonts w:asciiTheme="minorEastAsia" w:eastAsiaTheme="minorEastAsia" w:hAnsiTheme="minorEastAsia"/>
          <w:b w:val="0"/>
          <w:sz w:val="21"/>
          <w:szCs w:val="21"/>
          <w:u w:val="single"/>
        </w:rPr>
        <w:t xml:space="preserve"> </w:t>
      </w:r>
      <w:r>
        <w:rPr>
          <w:rFonts w:asciiTheme="minorEastAsia" w:eastAsiaTheme="minorEastAsia" w:hAnsiTheme="minorEastAsia"/>
          <w:b w:val="0"/>
          <w:sz w:val="21"/>
          <w:szCs w:val="21"/>
          <w:u w:val="single"/>
        </w:rPr>
        <w:tab/>
      </w:r>
      <w:r>
        <w:rPr>
          <w:rFonts w:asciiTheme="minorEastAsia" w:eastAsiaTheme="minorEastAsia" w:hAnsiTheme="minorEastAsia" w:hint="eastAsia"/>
          <w:b w:val="0"/>
          <w:sz w:val="21"/>
          <w:szCs w:val="21"/>
          <w:u w:val="single"/>
        </w:rPr>
        <w:t xml:space="preserve">  </w:t>
      </w:r>
      <w:r>
        <w:rPr>
          <w:rFonts w:asciiTheme="minorEastAsia" w:eastAsiaTheme="minorEastAsia" w:hAnsiTheme="minorEastAsia"/>
          <w:b w:val="0"/>
          <w:sz w:val="21"/>
          <w:szCs w:val="21"/>
        </w:rPr>
        <w:t>万元，资产总额为</w:t>
      </w:r>
      <w:r>
        <w:rPr>
          <w:rFonts w:asciiTheme="minorEastAsia" w:eastAsiaTheme="minorEastAsia" w:hAnsiTheme="minorEastAsia" w:hint="eastAsia"/>
          <w:b w:val="0"/>
          <w:sz w:val="21"/>
          <w:szCs w:val="21"/>
          <w:u w:val="single"/>
        </w:rPr>
        <w:t xml:space="preserve">     </w:t>
      </w:r>
      <w:r>
        <w:rPr>
          <w:rFonts w:asciiTheme="minorEastAsia" w:eastAsiaTheme="minorEastAsia" w:hAnsiTheme="minorEastAsia"/>
          <w:b w:val="0"/>
          <w:sz w:val="21"/>
          <w:szCs w:val="21"/>
        </w:rPr>
        <w:t>万元，属于</w:t>
      </w:r>
      <w:r>
        <w:rPr>
          <w:rFonts w:asciiTheme="minorEastAsia" w:eastAsiaTheme="minorEastAsia" w:hAnsiTheme="minorEastAsia"/>
          <w:b w:val="0"/>
          <w:sz w:val="21"/>
          <w:szCs w:val="21"/>
          <w:u w:val="single"/>
        </w:rPr>
        <w:t>（中型企业、小型企业、微型企业）</w:t>
      </w:r>
      <w:r>
        <w:rPr>
          <w:rFonts w:asciiTheme="minorEastAsia" w:eastAsiaTheme="minorEastAsia" w:hAnsiTheme="minorEastAsia"/>
          <w:b w:val="0"/>
          <w:sz w:val="21"/>
          <w:szCs w:val="21"/>
        </w:rPr>
        <w:t>；</w:t>
      </w:r>
    </w:p>
    <w:p>
      <w:pPr>
        <w:pStyle w:val="BodyText"/>
        <w:spacing w:before="11" w:line="360" w:lineRule="exact"/>
        <w:ind w:firstLine="424" w:firstLineChars="202"/>
        <w:rPr>
          <w:rFonts w:asciiTheme="minorEastAsia" w:eastAsiaTheme="minorEastAsia" w:hAnsiTheme="minorEastAsia"/>
          <w:b w:val="0"/>
          <w:sz w:val="21"/>
          <w:szCs w:val="21"/>
        </w:rPr>
      </w:pPr>
      <w:r>
        <w:rPr>
          <w:rFonts w:asciiTheme="minorEastAsia" w:eastAsiaTheme="minorEastAsia" w:hAnsiTheme="minorEastAsia"/>
          <w:b w:val="0"/>
          <w:sz w:val="21"/>
          <w:szCs w:val="21"/>
        </w:rPr>
        <w:t>……</w:t>
      </w:r>
    </w:p>
    <w:p>
      <w:pPr>
        <w:pStyle w:val="BodyText"/>
        <w:spacing w:before="108" w:line="360" w:lineRule="exact"/>
        <w:ind w:firstLine="408"/>
        <w:rPr>
          <w:rFonts w:asciiTheme="minorEastAsia" w:eastAsiaTheme="minorEastAsia" w:hAnsiTheme="minorEastAsia"/>
          <w:b w:val="0"/>
          <w:sz w:val="21"/>
          <w:szCs w:val="21"/>
        </w:rPr>
      </w:pPr>
      <w:r>
        <w:rPr>
          <w:rFonts w:asciiTheme="minorEastAsia" w:eastAsiaTheme="minorEastAsia" w:hAnsiTheme="minorEastAsia"/>
          <w:b w:val="0"/>
          <w:sz w:val="21"/>
          <w:szCs w:val="21"/>
        </w:rPr>
        <w:t>以上企业，不属于大企业的分支机构，不存在控股股东为大企业的情形，也不存在与大企业的负责人为同一人的情形。</w:t>
      </w:r>
    </w:p>
    <w:p>
      <w:pPr>
        <w:spacing w:line="360" w:lineRule="exact"/>
        <w:ind w:firstLine="420" w:firstLineChars="200"/>
        <w:rPr>
          <w:rFonts w:asciiTheme="minorEastAsia" w:eastAsiaTheme="minorEastAsia" w:hAnsiTheme="minorEastAsia"/>
          <w:szCs w:val="21"/>
        </w:rPr>
      </w:pPr>
      <w:r>
        <w:rPr>
          <w:rFonts w:asciiTheme="minorEastAsia" w:eastAsiaTheme="minorEastAsia" w:hAnsiTheme="minorEastAsia"/>
          <w:szCs w:val="21"/>
        </w:rPr>
        <w:t>本企业对上述声明内容的真实性负责。如有虚假，将依法承担相应责任</w:t>
      </w:r>
      <w:r>
        <w:rPr>
          <w:rFonts w:asciiTheme="minorEastAsia" w:eastAsiaTheme="minorEastAsia" w:hAnsiTheme="minorEastAsia" w:hint="eastAsia"/>
          <w:szCs w:val="21"/>
        </w:rPr>
        <w:t>。</w:t>
      </w:r>
    </w:p>
    <w:p>
      <w:pPr>
        <w:spacing w:line="360" w:lineRule="exact"/>
        <w:ind w:firstLine="420" w:firstLineChars="200"/>
        <w:rPr>
          <w:rFonts w:asciiTheme="minorEastAsia" w:eastAsiaTheme="minorEastAsia" w:hAnsiTheme="minorEastAsia"/>
          <w:szCs w:val="21"/>
        </w:rPr>
      </w:pPr>
      <w:r>
        <w:rPr>
          <w:rFonts w:asciiTheme="minorEastAsia" w:eastAsiaTheme="minorEastAsia" w:hAnsiTheme="minorEastAsia" w:hint="eastAsia"/>
          <w:szCs w:val="21"/>
        </w:rPr>
        <w:t>本企业已知悉《政府采购促进中小企业发展管理办法》（财库〔2020〕46 号）、《中小企业划型标准规定》（工信部联企〔2011〕300 号）、《统计上大中小微型企业划分办法（2017）》等规定，承诺提供的声明函内容是真实的，并知悉根据《政府采购促进中小企业发展管理办法》（财库〔2020〕46 号）第二十条规定，供应商按照本办法规定提供声明函内容不实的，属于提供虚假材料谋取中标、成交，依照《政府采购法》等政府采购有关法律法规规定追究相应责任。</w:t>
      </w:r>
    </w:p>
    <w:p>
      <w:pPr>
        <w:spacing w:line="360" w:lineRule="exact"/>
        <w:ind w:firstLine="420" w:firstLineChars="200"/>
        <w:rPr>
          <w:rFonts w:asciiTheme="minorEastAsia" w:eastAsiaTheme="minorEastAsia" w:hAnsiTheme="minorEastAsia"/>
          <w:szCs w:val="21"/>
        </w:rPr>
      </w:pPr>
    </w:p>
    <w:p>
      <w:pPr>
        <w:spacing w:line="360" w:lineRule="exact"/>
        <w:jc w:val="center"/>
        <w:rPr>
          <w:rFonts w:ascii="Times New Roman" w:hAnsi="Times New Roman"/>
          <w:szCs w:val="24"/>
        </w:rPr>
      </w:pPr>
      <w:r>
        <w:rPr>
          <w:rFonts w:ascii="Times New Roman" w:hAnsi="Times New Roman" w:hint="eastAsia"/>
          <w:szCs w:val="21"/>
        </w:rPr>
        <w:t xml:space="preserve">                           企业名称：</w:t>
      </w:r>
    </w:p>
    <w:p>
      <w:pPr>
        <w:spacing w:line="360" w:lineRule="exact"/>
        <w:rPr>
          <w:rFonts w:ascii="宋体" w:hAnsi="宋体"/>
          <w:szCs w:val="21"/>
        </w:rPr>
      </w:pPr>
      <w:r>
        <w:rPr>
          <w:rFonts w:ascii="宋体" w:hAnsi="宋体" w:hint="eastAsia"/>
          <w:szCs w:val="21"/>
        </w:rPr>
        <w:t xml:space="preserve">                                                         日期：</w:t>
      </w:r>
      <w:r>
        <w:rPr>
          <w:rFonts w:ascii="宋体" w:hAnsi="宋体" w:hint="eastAsia"/>
          <w:szCs w:val="21"/>
          <w:u w:val="single"/>
        </w:rPr>
        <w:t xml:space="preserve">    </w:t>
      </w:r>
      <w:r>
        <w:rPr>
          <w:rFonts w:ascii="宋体" w:hAnsi="宋体" w:hint="eastAsia"/>
          <w:szCs w:val="21"/>
        </w:rPr>
        <w:t>年</w:t>
      </w:r>
      <w:r>
        <w:rPr>
          <w:rFonts w:ascii="宋体" w:hAnsi="宋体" w:hint="eastAsia"/>
          <w:szCs w:val="21"/>
          <w:u w:val="single"/>
        </w:rPr>
        <w:t xml:space="preserve">   </w:t>
      </w:r>
      <w:r>
        <w:rPr>
          <w:rFonts w:ascii="宋体" w:hAnsi="宋体" w:hint="eastAsia"/>
          <w:szCs w:val="21"/>
        </w:rPr>
        <w:t>月</w:t>
      </w:r>
      <w:r>
        <w:rPr>
          <w:rFonts w:ascii="宋体" w:hAnsi="宋体" w:hint="eastAsia"/>
          <w:szCs w:val="21"/>
          <w:u w:val="single"/>
        </w:rPr>
        <w:t xml:space="preserve">   </w:t>
      </w:r>
      <w:r>
        <w:rPr>
          <w:rFonts w:ascii="宋体" w:hAnsi="宋体" w:hint="eastAsia"/>
          <w:szCs w:val="21"/>
        </w:rPr>
        <w:t>日</w:t>
      </w:r>
    </w:p>
    <w:p>
      <w:pPr>
        <w:spacing w:line="360" w:lineRule="exact"/>
        <w:ind w:firstLine="420" w:firstLineChars="200"/>
        <w:rPr>
          <w:rFonts w:ascii="宋体" w:hAnsi="宋体"/>
          <w:szCs w:val="21"/>
        </w:rPr>
      </w:pPr>
      <w:r>
        <w:rPr>
          <w:rFonts w:ascii="宋体" w:hAnsi="宋体" w:hint="eastAsia"/>
          <w:szCs w:val="21"/>
        </w:rPr>
        <w:t>备注：</w:t>
      </w:r>
    </w:p>
    <w:p>
      <w:pPr>
        <w:spacing w:line="360" w:lineRule="exact"/>
        <w:ind w:firstLine="420" w:firstLineChars="200"/>
        <w:rPr>
          <w:rFonts w:ascii="宋体" w:hAnsi="宋体"/>
          <w:szCs w:val="21"/>
        </w:rPr>
      </w:pPr>
      <w:r>
        <w:rPr>
          <w:rFonts w:ascii="宋体" w:hAnsi="宋体" w:hint="eastAsia"/>
          <w:szCs w:val="21"/>
        </w:rPr>
        <w:t>1、填写前请认真阅读《工业和信息化部、国家统计局、国家发展和改革委员会、财政部关于印发中小企业划型标准规定的通知》</w:t>
      </w:r>
      <w:r>
        <w:rPr>
          <w:rFonts w:ascii="宋体" w:hAnsi="宋体"/>
          <w:szCs w:val="21"/>
        </w:rPr>
        <w:t>(</w:t>
      </w:r>
      <w:r>
        <w:rPr>
          <w:rFonts w:ascii="宋体" w:hAnsi="宋体" w:hint="eastAsia"/>
          <w:szCs w:val="21"/>
        </w:rPr>
        <w:t>工信部联企业〔</w:t>
      </w:r>
      <w:r>
        <w:rPr>
          <w:rFonts w:ascii="宋体" w:hAnsi="宋体"/>
          <w:szCs w:val="21"/>
        </w:rPr>
        <w:t>2011</w:t>
      </w:r>
      <w:r>
        <w:rPr>
          <w:rFonts w:ascii="宋体" w:hAnsi="宋体" w:hint="eastAsia"/>
          <w:szCs w:val="21"/>
        </w:rPr>
        <w:t>〕</w:t>
      </w:r>
      <w:r>
        <w:rPr>
          <w:rFonts w:ascii="宋体" w:hAnsi="宋体"/>
          <w:szCs w:val="21"/>
        </w:rPr>
        <w:t>300</w:t>
      </w:r>
      <w:r>
        <w:rPr>
          <w:rFonts w:ascii="宋体" w:hAnsi="宋体" w:hint="eastAsia"/>
          <w:szCs w:val="21"/>
        </w:rPr>
        <w:t>号</w:t>
      </w:r>
      <w:r>
        <w:rPr>
          <w:rFonts w:ascii="宋体" w:hAnsi="宋体"/>
          <w:szCs w:val="21"/>
        </w:rPr>
        <w:t>)</w:t>
      </w:r>
      <w:r>
        <w:rPr>
          <w:rFonts w:ascii="宋体" w:hAnsi="宋体" w:hint="eastAsia"/>
          <w:szCs w:val="21"/>
        </w:rPr>
        <w:t>和《财政部 工业和信息化部关于印发《政府采购促进中小企业发展管理办法》的通知》</w:t>
      </w:r>
      <w:r>
        <w:rPr>
          <w:rFonts w:ascii="宋体" w:hAnsi="宋体"/>
          <w:szCs w:val="21"/>
        </w:rPr>
        <w:t>(</w:t>
      </w:r>
      <w:r>
        <w:rPr>
          <w:rFonts w:ascii="宋体" w:hAnsi="宋体" w:hint="eastAsia"/>
          <w:szCs w:val="21"/>
        </w:rPr>
        <w:t>财库〔2020〕46号</w:t>
      </w:r>
      <w:r>
        <w:rPr>
          <w:rFonts w:ascii="宋体" w:hAnsi="宋体"/>
          <w:szCs w:val="21"/>
        </w:rPr>
        <w:t>)</w:t>
      </w:r>
      <w:r>
        <w:rPr>
          <w:rFonts w:ascii="宋体" w:hAnsi="宋体" w:hint="eastAsia"/>
          <w:szCs w:val="21"/>
        </w:rPr>
        <w:t>相关规定。</w:t>
      </w:r>
    </w:p>
    <w:p>
      <w:pPr>
        <w:spacing w:line="360" w:lineRule="exact"/>
        <w:ind w:firstLine="424" w:firstLineChars="202"/>
        <w:rPr>
          <w:rFonts w:ascii="宋体" w:hAnsi="宋体"/>
          <w:szCs w:val="21"/>
        </w:rPr>
      </w:pPr>
      <w:r>
        <w:rPr>
          <w:rFonts w:ascii="宋体" w:hAnsi="宋体" w:hint="eastAsia"/>
          <w:szCs w:val="21"/>
        </w:rPr>
        <w:t>2、从业人员、营业收入、资产总额填报上一年度数据，无上一年度数据的新成立企业可不填报。</w:t>
      </w:r>
    </w:p>
    <w:p>
      <w:pPr>
        <w:spacing w:line="360" w:lineRule="exact"/>
        <w:ind w:firstLine="424" w:firstLineChars="202"/>
        <w:rPr>
          <w:rFonts w:asciiTheme="minorEastAsia" w:eastAsiaTheme="minorEastAsia" w:hAnsiTheme="minorEastAsia" w:cstheme="minorBidi"/>
        </w:rPr>
      </w:pPr>
      <w:r>
        <w:rPr>
          <w:rFonts w:asciiTheme="minorEastAsia" w:eastAsiaTheme="minorEastAsia" w:hAnsiTheme="minorEastAsia" w:cstheme="minorBidi" w:hint="eastAsia"/>
        </w:rPr>
        <w:t>3、中小企业参加政府采购活动，应当按照国务院批准的《中小企业划型标准规定》（工信部联企业〔2011〕300 号）、《金融业企业划型标准规定》（银发〔2015〕309 号）和《财政部工业和信息化部关于印发〈政府采购促进中小企业发展管理办法〉的通知》（财库〔2020〕46 号）的规定，出具《中小企业声明函》，</w:t>
      </w:r>
      <w:r>
        <w:rPr>
          <w:rFonts w:asciiTheme="minorEastAsia" w:eastAsiaTheme="minorEastAsia" w:hAnsiTheme="minorEastAsia" w:cstheme="minorBidi" w:hint="eastAsia"/>
          <w:b/>
        </w:rPr>
        <w:t>《中小企业声明函》中相关企业所属行业应当与采购标的所属行业相一致</w:t>
      </w:r>
      <w:r>
        <w:rPr>
          <w:rFonts w:asciiTheme="minorEastAsia" w:eastAsiaTheme="minorEastAsia" w:hAnsiTheme="minorEastAsia" w:cstheme="minorBidi" w:hint="eastAsia"/>
        </w:rPr>
        <w:t>。</w:t>
      </w:r>
    </w:p>
    <w:p>
      <w:pPr>
        <w:spacing w:line="360" w:lineRule="exact"/>
        <w:ind w:firstLine="424" w:firstLineChars="202"/>
        <w:rPr>
          <w:rFonts w:asciiTheme="minorHAnsi" w:eastAsiaTheme="minorEastAsia" w:hAnsiTheme="minorHAnsi" w:cstheme="minorBidi"/>
        </w:rPr>
      </w:pPr>
      <w:r>
        <w:rPr>
          <w:rFonts w:asciiTheme="minorHAnsi" w:eastAsiaTheme="minorEastAsia" w:hAnsiTheme="minorHAnsi" w:cstheme="minorBidi" w:hint="eastAsia"/>
        </w:rPr>
        <w:t>4、中小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w:t>
      </w:r>
    </w:p>
    <w:p>
      <w:pPr>
        <w:spacing w:line="360" w:lineRule="exact"/>
        <w:ind w:firstLine="420" w:firstLineChars="200"/>
        <w:rPr>
          <w:rFonts w:ascii="宋体" w:hAnsi="宋体"/>
          <w:szCs w:val="21"/>
        </w:rPr>
      </w:pPr>
    </w:p>
    <w:p>
      <w:pPr>
        <w:spacing w:after="60" w:line="360" w:lineRule="exact"/>
        <w:jc w:val="center"/>
        <w:outlineLvl w:val="3"/>
        <w:rPr>
          <w:b/>
          <w:sz w:val="24"/>
        </w:rPr>
      </w:pPr>
      <w:r>
        <w:rPr>
          <w:rFonts w:hint="eastAsia"/>
          <w:b/>
          <w:sz w:val="24"/>
        </w:rPr>
        <w:t>2、监狱企业声明函</w:t>
      </w:r>
    </w:p>
    <w:p>
      <w:pPr>
        <w:spacing w:after="60" w:line="360" w:lineRule="exact"/>
        <w:ind w:firstLine="420" w:firstLineChars="200"/>
        <w:rPr>
          <w:rFonts w:ascii="宋体" w:hAnsi="宋体"/>
          <w:szCs w:val="21"/>
        </w:rPr>
      </w:pPr>
      <w:r>
        <w:rPr>
          <w:rFonts w:ascii="宋体" w:hAnsi="宋体" w:hint="eastAsia"/>
          <w:szCs w:val="21"/>
        </w:rPr>
        <w:t>本单位郑重声明，根据《关于政府采购支持监狱企业发展有关问题的通知》（财库〔</w:t>
      </w:r>
      <w:r>
        <w:rPr>
          <w:rFonts w:ascii="宋体" w:hAnsi="宋体"/>
          <w:szCs w:val="21"/>
        </w:rPr>
        <w:t>2014</w:t>
      </w:r>
      <w:r>
        <w:rPr>
          <w:rFonts w:ascii="宋体" w:hAnsi="宋体" w:hint="eastAsia"/>
          <w:szCs w:val="21"/>
        </w:rPr>
        <w:t>〕</w:t>
      </w:r>
      <w:r>
        <w:rPr>
          <w:rFonts w:ascii="宋体" w:hAnsi="宋体"/>
          <w:szCs w:val="21"/>
        </w:rPr>
        <w:t>68</w:t>
      </w:r>
      <w:r>
        <w:rPr>
          <w:rFonts w:ascii="宋体" w:hAnsi="宋体" w:hint="eastAsia"/>
          <w:szCs w:val="21"/>
        </w:rPr>
        <w:t>号）的规定，本单位为符合条件的监狱企业。</w:t>
      </w:r>
    </w:p>
    <w:p>
      <w:pPr>
        <w:spacing w:after="60" w:line="360" w:lineRule="exact"/>
        <w:ind w:firstLine="420" w:firstLineChars="200"/>
        <w:rPr>
          <w:rFonts w:ascii="宋体" w:hAnsi="宋体"/>
          <w:szCs w:val="21"/>
        </w:rPr>
      </w:pPr>
      <w:r>
        <w:rPr>
          <w:rFonts w:ascii="宋体" w:hAnsi="宋体" w:hint="eastAsia"/>
          <w:szCs w:val="21"/>
        </w:rPr>
        <w:t>本单位对上述声明的真实性负责。如有虚假，将依法承担相应责任。</w:t>
      </w:r>
    </w:p>
    <w:p>
      <w:pPr>
        <w:spacing w:line="360" w:lineRule="exact"/>
        <w:jc w:val="center"/>
      </w:pPr>
      <w:r>
        <w:rPr>
          <w:rFonts w:hint="eastAsia"/>
          <w:szCs w:val="21"/>
        </w:rPr>
        <w:t xml:space="preserve">                             单位名称：</w:t>
      </w:r>
    </w:p>
    <w:p>
      <w:pPr>
        <w:spacing w:line="360" w:lineRule="exact"/>
        <w:rPr>
          <w:rFonts w:ascii="宋体" w:hAnsi="宋体"/>
          <w:szCs w:val="21"/>
        </w:rPr>
      </w:pPr>
      <w:r>
        <w:rPr>
          <w:rFonts w:ascii="宋体" w:hAnsi="宋体" w:hint="eastAsia"/>
          <w:szCs w:val="21"/>
        </w:rPr>
        <w:t xml:space="preserve">                                                      日期：</w:t>
      </w:r>
      <w:r>
        <w:rPr>
          <w:rFonts w:ascii="宋体" w:hAnsi="宋体" w:hint="eastAsia"/>
          <w:szCs w:val="21"/>
          <w:u w:val="single"/>
        </w:rPr>
        <w:t xml:space="preserve">    </w:t>
      </w:r>
      <w:r>
        <w:rPr>
          <w:rFonts w:ascii="宋体" w:hAnsi="宋体" w:hint="eastAsia"/>
          <w:szCs w:val="21"/>
        </w:rPr>
        <w:t>年</w:t>
      </w:r>
      <w:r>
        <w:rPr>
          <w:rFonts w:ascii="宋体" w:hAnsi="宋体" w:hint="eastAsia"/>
          <w:szCs w:val="21"/>
          <w:u w:val="single"/>
        </w:rPr>
        <w:t xml:space="preserve">   </w:t>
      </w:r>
      <w:r>
        <w:rPr>
          <w:rFonts w:ascii="宋体" w:hAnsi="宋体" w:hint="eastAsia"/>
          <w:szCs w:val="21"/>
        </w:rPr>
        <w:t>月</w:t>
      </w:r>
      <w:r>
        <w:rPr>
          <w:rFonts w:ascii="宋体" w:hAnsi="宋体" w:hint="eastAsia"/>
          <w:szCs w:val="21"/>
          <w:u w:val="single"/>
        </w:rPr>
        <w:t xml:space="preserve">   </w:t>
      </w:r>
      <w:r>
        <w:rPr>
          <w:rFonts w:ascii="宋体" w:hAnsi="宋体" w:hint="eastAsia"/>
          <w:szCs w:val="21"/>
        </w:rPr>
        <w:t>日</w:t>
      </w:r>
    </w:p>
    <w:p>
      <w:pPr>
        <w:spacing w:line="360" w:lineRule="exact"/>
        <w:ind w:firstLine="645"/>
        <w:rPr>
          <w:rFonts w:ascii="宋体"/>
          <w:b/>
          <w:szCs w:val="21"/>
        </w:rPr>
      </w:pPr>
      <w:r>
        <w:rPr>
          <w:rFonts w:ascii="宋体" w:hAnsi="宋体" w:hint="eastAsia"/>
          <w:szCs w:val="21"/>
        </w:rPr>
        <w:t xml:space="preserve">                                    </w:t>
      </w:r>
    </w:p>
    <w:p>
      <w:pPr>
        <w:spacing w:after="60" w:line="360" w:lineRule="exact"/>
        <w:ind w:firstLine="420" w:firstLineChars="200"/>
        <w:rPr>
          <w:rFonts w:ascii="宋体" w:hAnsi="宋体"/>
          <w:b/>
          <w:szCs w:val="21"/>
        </w:rPr>
      </w:pPr>
      <w:r>
        <w:rPr>
          <w:rFonts w:ascii="宋体" w:hAnsi="宋体" w:hint="eastAsia"/>
          <w:b/>
          <w:szCs w:val="21"/>
        </w:rPr>
        <w:t>附：省级以上监狱管理局、戒毒管理局（含新疆生产建设兵团）出具的监狱企业证明文件。</w:t>
      </w:r>
    </w:p>
    <w:p>
      <w:pPr>
        <w:ind w:left="723" w:hanging="630" w:hangingChars="300"/>
        <w:rPr>
          <w:b/>
          <w:sz w:val="24"/>
        </w:rPr>
      </w:pPr>
    </w:p>
    <w:p>
      <w:pPr>
        <w:spacing w:line="360" w:lineRule="exact"/>
        <w:ind w:firstLine="424" w:firstLineChars="202"/>
        <w:rPr>
          <w:rFonts w:ascii="宋体" w:hAnsi="宋体"/>
          <w:szCs w:val="21"/>
        </w:rPr>
      </w:pPr>
      <w:r>
        <w:rPr>
          <w:rFonts w:ascii="宋体" w:hAnsi="宋体" w:hint="eastAsia"/>
          <w:szCs w:val="21"/>
        </w:rPr>
        <w:t>备注：填写前请认真阅读《财政部 司法部关于政府采购支持监狱企业发展有关问题的通知》（财库〔</w:t>
      </w:r>
      <w:r>
        <w:rPr>
          <w:rFonts w:ascii="宋体" w:hAnsi="宋体"/>
          <w:szCs w:val="21"/>
        </w:rPr>
        <w:t>2014</w:t>
      </w:r>
      <w:r>
        <w:rPr>
          <w:rFonts w:ascii="宋体" w:hAnsi="宋体" w:hint="eastAsia"/>
          <w:szCs w:val="21"/>
        </w:rPr>
        <w:t>〕</w:t>
      </w:r>
      <w:r>
        <w:rPr>
          <w:rFonts w:ascii="宋体" w:hAnsi="宋体"/>
          <w:szCs w:val="21"/>
        </w:rPr>
        <w:t>68</w:t>
      </w:r>
      <w:r>
        <w:rPr>
          <w:rFonts w:ascii="宋体" w:hAnsi="宋体" w:hint="eastAsia"/>
          <w:szCs w:val="21"/>
        </w:rPr>
        <w:t>号）相关规定。如不符合前述相关规定所确定的监狱企业，则不需要在投标文件中提供本《监狱企业声明函》；若符合前述相关规定所确定的监狱企业，除了提供本《监狱企业声明函》，还需提供由省级以上监狱管理局、戒毒管理局（含新疆生产建设兵团）出具的属于监狱企业的证明文件。否则视为在本项目中放弃政府采购政策扶持，不进行价格扣除。</w:t>
      </w:r>
    </w:p>
    <w:p>
      <w:pPr>
        <w:spacing w:after="60" w:line="360" w:lineRule="exact"/>
        <w:ind w:firstLine="420" w:firstLineChars="200"/>
        <w:rPr>
          <w:rFonts w:ascii="宋体" w:hAnsi="宋体"/>
          <w:szCs w:val="21"/>
        </w:rPr>
      </w:pPr>
      <w:r>
        <w:rPr>
          <w:rFonts w:ascii="宋体" w:hAnsi="宋体" w:hint="eastAsia"/>
          <w:szCs w:val="21"/>
        </w:rPr>
        <w:t xml:space="preserve">                                     </w:t>
      </w:r>
    </w:p>
    <w:p>
      <w:pPr>
        <w:spacing w:after="60" w:line="360" w:lineRule="exact"/>
        <w:jc w:val="center"/>
        <w:outlineLvl w:val="3"/>
        <w:rPr>
          <w:b/>
          <w:bCs/>
        </w:rPr>
      </w:pPr>
      <w:r>
        <w:rPr>
          <w:rFonts w:hint="eastAsia"/>
          <w:b/>
          <w:sz w:val="24"/>
        </w:rPr>
        <w:t>3、残疾人福利性单位声明函</w:t>
      </w:r>
    </w:p>
    <w:p>
      <w:pPr>
        <w:spacing w:line="360" w:lineRule="exact"/>
        <w:ind w:firstLine="420" w:firstLineChars="200"/>
        <w:jc w:val="left"/>
        <w:rPr>
          <w:rFonts w:ascii="宋体" w:hAnsi="宋体"/>
          <w:szCs w:val="21"/>
        </w:rPr>
      </w:pPr>
      <w:r>
        <w:rPr>
          <w:rFonts w:ascii="宋体" w:hAnsi="宋体" w:hint="eastAsia"/>
          <w:szCs w:val="21"/>
        </w:rPr>
        <w:t>本单位郑重声明，根据《财政部 民政部 中国残疾人联合会关于促进残疾人就业政府采购政策的通知》（财库〔2017〕 141号）的规定，本单位为符合条件的残疾人福利性单位，且本单位参加</w:t>
      </w:r>
      <w:r>
        <w:rPr>
          <w:rFonts w:ascii="宋体" w:hAnsi="宋体" w:hint="eastAsia"/>
          <w:szCs w:val="21"/>
          <w:u w:val="single"/>
        </w:rPr>
        <w:t xml:space="preserve">    </w:t>
      </w:r>
      <w:r>
        <w:rPr>
          <w:rFonts w:ascii="宋体" w:hAnsi="宋体" w:hint="eastAsia"/>
          <w:szCs w:val="21"/>
        </w:rPr>
        <w:t>单位的</w:t>
      </w:r>
      <w:r>
        <w:rPr>
          <w:rFonts w:ascii="宋体" w:hAnsi="宋体" w:hint="eastAsia"/>
          <w:szCs w:val="21"/>
          <w:u w:val="single"/>
        </w:rPr>
        <w:t xml:space="preserve">            </w:t>
      </w:r>
      <w:r>
        <w:rPr>
          <w:rFonts w:ascii="宋体" w:hAnsi="宋体" w:hint="eastAsia"/>
          <w:szCs w:val="21"/>
        </w:rPr>
        <w:t>项目采购活动，由本单位提供服务。</w:t>
      </w:r>
    </w:p>
    <w:p>
      <w:pPr>
        <w:spacing w:after="60" w:line="360" w:lineRule="exact"/>
        <w:ind w:firstLine="420" w:firstLineChars="200"/>
        <w:rPr>
          <w:rFonts w:ascii="宋体" w:hAnsi="宋体"/>
          <w:szCs w:val="21"/>
        </w:rPr>
      </w:pPr>
      <w:r>
        <w:rPr>
          <w:rFonts w:ascii="宋体" w:hAnsi="宋体" w:hint="eastAsia"/>
          <w:szCs w:val="21"/>
        </w:rPr>
        <w:t>本单位对上述声明的真实性负责。如有虚假，将依法承担相应责任。</w:t>
      </w:r>
    </w:p>
    <w:p>
      <w:pPr>
        <w:spacing w:after="60" w:line="360" w:lineRule="exact"/>
        <w:ind w:firstLine="420" w:firstLineChars="200"/>
        <w:rPr>
          <w:rFonts w:ascii="宋体" w:hAnsi="宋体"/>
          <w:szCs w:val="21"/>
        </w:rPr>
      </w:pPr>
      <w:r>
        <w:rPr>
          <w:rFonts w:ascii="宋体" w:hAnsi="宋体" w:hint="eastAsia"/>
          <w:szCs w:val="21"/>
        </w:rPr>
        <w:t>本单位知悉《关于促进残疾人就业政府采购政策的通知》（财库〔2017〕141 号）的规定，承诺提供的声明函内容是真实的，如提供声明函内容不实，则依法追究相关法律责任。</w:t>
      </w:r>
    </w:p>
    <w:p>
      <w:pPr>
        <w:spacing w:line="360" w:lineRule="exact"/>
        <w:jc w:val="center"/>
      </w:pPr>
      <w:r>
        <w:rPr>
          <w:rFonts w:hint="eastAsia"/>
          <w:szCs w:val="21"/>
        </w:rPr>
        <w:t xml:space="preserve">                             单位名称：</w:t>
      </w:r>
    </w:p>
    <w:p>
      <w:pPr>
        <w:spacing w:line="360" w:lineRule="exact"/>
        <w:rPr>
          <w:rFonts w:ascii="宋体" w:hAnsi="宋体"/>
          <w:szCs w:val="21"/>
        </w:rPr>
      </w:pPr>
      <w:r>
        <w:rPr>
          <w:rFonts w:ascii="宋体" w:hAnsi="宋体" w:hint="eastAsia"/>
          <w:szCs w:val="21"/>
        </w:rPr>
        <w:t xml:space="preserve">                                                      日期：</w:t>
      </w:r>
      <w:r>
        <w:rPr>
          <w:rFonts w:ascii="宋体" w:hAnsi="宋体" w:hint="eastAsia"/>
          <w:szCs w:val="21"/>
          <w:u w:val="single"/>
        </w:rPr>
        <w:t xml:space="preserve">    </w:t>
      </w:r>
      <w:r>
        <w:rPr>
          <w:rFonts w:ascii="宋体" w:hAnsi="宋体" w:hint="eastAsia"/>
          <w:szCs w:val="21"/>
        </w:rPr>
        <w:t>年</w:t>
      </w:r>
      <w:r>
        <w:rPr>
          <w:rFonts w:ascii="宋体" w:hAnsi="宋体" w:hint="eastAsia"/>
          <w:szCs w:val="21"/>
          <w:u w:val="single"/>
        </w:rPr>
        <w:t xml:space="preserve">   </w:t>
      </w:r>
      <w:r>
        <w:rPr>
          <w:rFonts w:ascii="宋体" w:hAnsi="宋体" w:hint="eastAsia"/>
          <w:szCs w:val="21"/>
        </w:rPr>
        <w:t>月</w:t>
      </w:r>
      <w:r>
        <w:rPr>
          <w:rFonts w:ascii="宋体" w:hAnsi="宋体" w:hint="eastAsia"/>
          <w:szCs w:val="21"/>
          <w:u w:val="single"/>
        </w:rPr>
        <w:t xml:space="preserve">   </w:t>
      </w:r>
      <w:r>
        <w:rPr>
          <w:rFonts w:ascii="宋体" w:hAnsi="宋体" w:hint="eastAsia"/>
          <w:szCs w:val="21"/>
        </w:rPr>
        <w:t>日</w:t>
      </w:r>
    </w:p>
    <w:p>
      <w:pPr>
        <w:spacing w:line="360" w:lineRule="exact"/>
        <w:ind w:firstLine="424" w:firstLineChars="202"/>
        <w:rPr>
          <w:rFonts w:ascii="宋体" w:hAnsi="宋体"/>
          <w:szCs w:val="21"/>
        </w:rPr>
      </w:pPr>
      <w:r>
        <w:rPr>
          <w:rFonts w:ascii="宋体" w:hAnsi="宋体" w:hint="eastAsia"/>
          <w:szCs w:val="21"/>
        </w:rPr>
        <w:t>备注：填写前请认真阅读《财政部 民政部 中国残疾人联合会关于促进残疾人就业政府采购政策的通知》</w:t>
      </w:r>
      <w:r>
        <w:rPr>
          <w:rFonts w:ascii="宋体" w:hAnsi="宋体"/>
          <w:szCs w:val="21"/>
        </w:rPr>
        <w:t>(</w:t>
      </w:r>
      <w:r>
        <w:rPr>
          <w:rFonts w:ascii="宋体" w:hAnsi="宋体" w:hint="eastAsia"/>
          <w:szCs w:val="21"/>
        </w:rPr>
        <w:t>财库〔2017〕141号</w:t>
      </w:r>
      <w:r>
        <w:rPr>
          <w:rFonts w:ascii="宋体" w:hAnsi="宋体"/>
          <w:szCs w:val="21"/>
        </w:rPr>
        <w:t>)</w:t>
      </w:r>
      <w:r>
        <w:rPr>
          <w:rFonts w:ascii="宋体" w:hAnsi="宋体" w:hint="eastAsia"/>
          <w:szCs w:val="21"/>
        </w:rPr>
        <w:t>相关规定。如不符合前述相关规定所确定的残疾人福利性单位，则不需要在投标文件中提供本《残疾人福利性单位声明函》；若符合前述相关规定所确定的残疾人福利性单位，但在投标文件中没有提供本《残疾人福利性单位声明函》，视为在本项目中放弃政府采购政策扶持，不进行价格扣除。</w:t>
      </w:r>
    </w:p>
    <w:p>
      <w:pPr>
        <w:keepNext/>
        <w:keepLines/>
        <w:tabs>
          <w:tab w:val="left" w:pos="0"/>
        </w:tabs>
        <w:spacing w:before="280" w:after="290" w:line="376" w:lineRule="auto"/>
        <w:jc w:val="center"/>
        <w:outlineLvl w:val="3"/>
        <w:rPr>
          <w:rFonts w:ascii="宋体" w:hAnsi="宋体"/>
          <w:b/>
          <w:bCs/>
          <w:sz w:val="28"/>
          <w:szCs w:val="28"/>
        </w:rPr>
      </w:pPr>
      <w:r>
        <w:rPr>
          <w:rFonts w:ascii="宋体" w:hAnsi="宋体" w:hint="eastAsia"/>
          <w:b/>
          <w:bCs/>
          <w:sz w:val="28"/>
          <w:szCs w:val="28"/>
        </w:rPr>
        <w:t>列入政府优先采购清单的投标产品一览表</w:t>
      </w:r>
    </w:p>
    <w:tbl>
      <w:tblPr>
        <w:tblStyle w:val="TableNormal"/>
        <w:tblW w:w="101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540"/>
        <w:gridCol w:w="1213"/>
        <w:gridCol w:w="1840"/>
        <w:gridCol w:w="818"/>
        <w:gridCol w:w="1241"/>
        <w:gridCol w:w="2292"/>
        <w:gridCol w:w="1503"/>
        <w:gridCol w:w="720"/>
      </w:tblGrid>
      <w:tr>
        <w:tblPrEx>
          <w:tblW w:w="101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444"/>
          <w:jc w:val="center"/>
        </w:trPr>
        <w:tc>
          <w:tcPr>
            <w:tcW w:w="540" w:type="dxa"/>
            <w:vMerge w:val="restart"/>
            <w:vAlign w:val="center"/>
          </w:tcPr>
          <w:p>
            <w:pPr>
              <w:jc w:val="center"/>
              <w:rPr>
                <w:rFonts w:ascii="Times New Roman" w:hAnsi="Times New Roman"/>
                <w:b/>
                <w:szCs w:val="21"/>
              </w:rPr>
            </w:pPr>
            <w:r>
              <w:rPr>
                <w:rFonts w:ascii="Times New Roman" w:hAnsi="Times New Roman" w:hint="eastAsia"/>
                <w:b/>
                <w:szCs w:val="21"/>
              </w:rPr>
              <w:t>序号</w:t>
            </w:r>
          </w:p>
        </w:tc>
        <w:tc>
          <w:tcPr>
            <w:tcW w:w="1213" w:type="dxa"/>
            <w:vMerge w:val="restart"/>
            <w:vAlign w:val="center"/>
          </w:tcPr>
          <w:p>
            <w:pPr>
              <w:jc w:val="center"/>
              <w:rPr>
                <w:rFonts w:ascii="Times New Roman" w:hAnsi="Times New Roman"/>
                <w:b/>
                <w:szCs w:val="21"/>
              </w:rPr>
            </w:pPr>
            <w:r>
              <w:rPr>
                <w:rFonts w:ascii="Times New Roman" w:hAnsi="Times New Roman" w:hint="eastAsia"/>
                <w:b/>
                <w:szCs w:val="21"/>
              </w:rPr>
              <w:t>投标产品名称</w:t>
            </w:r>
          </w:p>
        </w:tc>
        <w:tc>
          <w:tcPr>
            <w:tcW w:w="1840" w:type="dxa"/>
            <w:vMerge w:val="restart"/>
            <w:vAlign w:val="center"/>
          </w:tcPr>
          <w:p>
            <w:pPr>
              <w:jc w:val="center"/>
              <w:rPr>
                <w:rFonts w:ascii="Times New Roman" w:hAnsi="Times New Roman"/>
                <w:b/>
                <w:szCs w:val="21"/>
              </w:rPr>
            </w:pPr>
            <w:r>
              <w:rPr>
                <w:rFonts w:ascii="Times New Roman" w:hAnsi="Times New Roman" w:hint="eastAsia"/>
                <w:b/>
                <w:szCs w:val="21"/>
              </w:rPr>
              <w:t>规格及型号</w:t>
            </w:r>
          </w:p>
        </w:tc>
        <w:tc>
          <w:tcPr>
            <w:tcW w:w="4351" w:type="dxa"/>
            <w:gridSpan w:val="3"/>
            <w:vAlign w:val="center"/>
          </w:tcPr>
          <w:p>
            <w:pPr>
              <w:jc w:val="center"/>
              <w:rPr>
                <w:rFonts w:ascii="Times New Roman" w:hAnsi="Times New Roman"/>
                <w:b/>
                <w:szCs w:val="21"/>
              </w:rPr>
            </w:pPr>
            <w:r>
              <w:rPr>
                <w:rFonts w:ascii="Times New Roman" w:hAnsi="Times New Roman" w:hint="eastAsia"/>
                <w:b/>
                <w:szCs w:val="21"/>
              </w:rPr>
              <w:t>投标产品报价</w:t>
            </w:r>
          </w:p>
        </w:tc>
        <w:tc>
          <w:tcPr>
            <w:tcW w:w="1503" w:type="dxa"/>
            <w:vMerge w:val="restart"/>
            <w:vAlign w:val="center"/>
          </w:tcPr>
          <w:p>
            <w:pPr>
              <w:jc w:val="center"/>
              <w:rPr>
                <w:rFonts w:ascii="Times New Roman" w:hAnsi="Times New Roman"/>
                <w:b/>
                <w:szCs w:val="21"/>
              </w:rPr>
            </w:pPr>
            <w:r>
              <w:rPr>
                <w:rFonts w:ascii="Times New Roman" w:hAnsi="Times New Roman" w:hint="eastAsia"/>
                <w:b/>
                <w:szCs w:val="21"/>
              </w:rPr>
              <w:t>属于优先采购清单的类别</w:t>
            </w:r>
          </w:p>
        </w:tc>
        <w:tc>
          <w:tcPr>
            <w:tcW w:w="720" w:type="dxa"/>
            <w:vMerge w:val="restart"/>
            <w:vAlign w:val="center"/>
          </w:tcPr>
          <w:p>
            <w:pPr>
              <w:jc w:val="center"/>
              <w:rPr>
                <w:rFonts w:ascii="Times New Roman" w:hAnsi="Times New Roman"/>
                <w:b/>
                <w:szCs w:val="21"/>
              </w:rPr>
            </w:pPr>
            <w:r>
              <w:rPr>
                <w:rFonts w:ascii="Times New Roman" w:hAnsi="Times New Roman" w:hint="eastAsia"/>
                <w:b/>
                <w:szCs w:val="21"/>
              </w:rPr>
              <w:t>备注</w:t>
            </w:r>
          </w:p>
        </w:tc>
      </w:tr>
      <w:tr>
        <w:tblPrEx>
          <w:tblW w:w="10167" w:type="dxa"/>
          <w:jc w:val="center"/>
          <w:tblLayout w:type="fixed"/>
          <w:tblCellMar>
            <w:top w:w="0" w:type="dxa"/>
            <w:left w:w="108" w:type="dxa"/>
            <w:bottom w:w="0" w:type="dxa"/>
            <w:right w:w="108" w:type="dxa"/>
          </w:tblCellMar>
        </w:tblPrEx>
        <w:trPr>
          <w:jc w:val="center"/>
        </w:trPr>
        <w:tc>
          <w:tcPr>
            <w:tcW w:w="540" w:type="dxa"/>
            <w:vMerge/>
            <w:vAlign w:val="center"/>
          </w:tcPr>
          <w:p>
            <w:pPr>
              <w:rPr>
                <w:rFonts w:ascii="Times New Roman" w:hAnsi="Times New Roman"/>
                <w:szCs w:val="21"/>
              </w:rPr>
            </w:pPr>
          </w:p>
        </w:tc>
        <w:tc>
          <w:tcPr>
            <w:tcW w:w="1213" w:type="dxa"/>
            <w:vMerge/>
            <w:vAlign w:val="center"/>
          </w:tcPr>
          <w:p>
            <w:pPr>
              <w:rPr>
                <w:rFonts w:ascii="Times New Roman" w:hAnsi="Times New Roman"/>
                <w:szCs w:val="21"/>
              </w:rPr>
            </w:pPr>
          </w:p>
        </w:tc>
        <w:tc>
          <w:tcPr>
            <w:tcW w:w="1840" w:type="dxa"/>
            <w:vMerge/>
            <w:vAlign w:val="center"/>
          </w:tcPr>
          <w:p>
            <w:pPr>
              <w:rPr>
                <w:rFonts w:ascii="Times New Roman" w:hAnsi="Times New Roman"/>
                <w:szCs w:val="21"/>
              </w:rPr>
            </w:pPr>
          </w:p>
        </w:tc>
        <w:tc>
          <w:tcPr>
            <w:tcW w:w="818" w:type="dxa"/>
            <w:vAlign w:val="center"/>
          </w:tcPr>
          <w:p>
            <w:pPr>
              <w:rPr>
                <w:rFonts w:ascii="Times New Roman" w:hAnsi="Times New Roman"/>
                <w:szCs w:val="21"/>
              </w:rPr>
            </w:pPr>
            <w:r>
              <w:rPr>
                <w:rFonts w:ascii="Times New Roman" w:hAnsi="Times New Roman" w:hint="eastAsia"/>
                <w:szCs w:val="21"/>
              </w:rPr>
              <w:t>数量</w:t>
            </w:r>
          </w:p>
        </w:tc>
        <w:tc>
          <w:tcPr>
            <w:tcW w:w="1241" w:type="dxa"/>
            <w:vAlign w:val="center"/>
          </w:tcPr>
          <w:p>
            <w:pPr>
              <w:jc w:val="center"/>
              <w:rPr>
                <w:rFonts w:ascii="Times New Roman" w:hAnsi="Times New Roman"/>
                <w:szCs w:val="21"/>
              </w:rPr>
            </w:pPr>
            <w:r>
              <w:rPr>
                <w:rFonts w:ascii="Times New Roman" w:hAnsi="Times New Roman" w:hint="eastAsia"/>
                <w:szCs w:val="21"/>
              </w:rPr>
              <w:t>投标单价（元）</w:t>
            </w:r>
          </w:p>
        </w:tc>
        <w:tc>
          <w:tcPr>
            <w:tcW w:w="2292" w:type="dxa"/>
            <w:vAlign w:val="center"/>
          </w:tcPr>
          <w:p>
            <w:pPr>
              <w:jc w:val="center"/>
              <w:rPr>
                <w:rFonts w:ascii="Times New Roman" w:hAnsi="Times New Roman"/>
                <w:szCs w:val="21"/>
              </w:rPr>
            </w:pPr>
            <w:r>
              <w:rPr>
                <w:rFonts w:ascii="Times New Roman" w:hAnsi="Times New Roman" w:hint="eastAsia"/>
                <w:szCs w:val="21"/>
              </w:rPr>
              <w:t>投标</w:t>
            </w:r>
            <w:r>
              <w:rPr>
                <w:rFonts w:ascii="宋体" w:hAnsi="宋体" w:hint="eastAsia"/>
                <w:szCs w:val="21"/>
              </w:rPr>
              <w:t>合计</w:t>
            </w:r>
            <w:r>
              <w:rPr>
                <w:rFonts w:ascii="Times New Roman" w:hAnsi="Times New Roman" w:hint="eastAsia"/>
                <w:szCs w:val="21"/>
              </w:rPr>
              <w:t>报价（元）</w:t>
            </w:r>
          </w:p>
        </w:tc>
        <w:tc>
          <w:tcPr>
            <w:tcW w:w="1503" w:type="dxa"/>
            <w:vMerge/>
            <w:vAlign w:val="center"/>
          </w:tcPr>
          <w:p>
            <w:pPr>
              <w:rPr>
                <w:rFonts w:ascii="Times New Roman" w:hAnsi="Times New Roman"/>
                <w:szCs w:val="21"/>
              </w:rPr>
            </w:pPr>
          </w:p>
        </w:tc>
        <w:tc>
          <w:tcPr>
            <w:tcW w:w="720" w:type="dxa"/>
            <w:vMerge/>
            <w:vAlign w:val="center"/>
          </w:tcPr>
          <w:p>
            <w:pPr>
              <w:rPr>
                <w:rFonts w:ascii="Times New Roman" w:hAnsi="Times New Roman"/>
                <w:szCs w:val="21"/>
              </w:rPr>
            </w:pPr>
          </w:p>
        </w:tc>
      </w:tr>
      <w:tr>
        <w:tblPrEx>
          <w:tblW w:w="10167" w:type="dxa"/>
          <w:jc w:val="center"/>
          <w:tblLayout w:type="fixed"/>
          <w:tblCellMar>
            <w:top w:w="0" w:type="dxa"/>
            <w:left w:w="108" w:type="dxa"/>
            <w:bottom w:w="0" w:type="dxa"/>
            <w:right w:w="108" w:type="dxa"/>
          </w:tblCellMar>
        </w:tblPrEx>
        <w:trPr>
          <w:jc w:val="center"/>
        </w:trPr>
        <w:tc>
          <w:tcPr>
            <w:tcW w:w="540" w:type="dxa"/>
            <w:vAlign w:val="center"/>
          </w:tcPr>
          <w:p>
            <w:pPr>
              <w:jc w:val="center"/>
              <w:rPr>
                <w:rFonts w:ascii="宋体" w:hAnsi="宋体"/>
                <w:szCs w:val="21"/>
              </w:rPr>
            </w:pPr>
            <w:r>
              <w:rPr>
                <w:rFonts w:ascii="宋体" w:hAnsi="宋体" w:hint="eastAsia"/>
                <w:szCs w:val="21"/>
              </w:rPr>
              <w:t>1</w:t>
            </w:r>
          </w:p>
        </w:tc>
        <w:tc>
          <w:tcPr>
            <w:tcW w:w="1213" w:type="dxa"/>
            <w:vAlign w:val="center"/>
          </w:tcPr>
          <w:p>
            <w:pPr>
              <w:jc w:val="center"/>
              <w:rPr>
                <w:rFonts w:ascii="Times New Roman" w:hAnsi="Times New Roman"/>
                <w:szCs w:val="21"/>
              </w:rPr>
            </w:pPr>
          </w:p>
        </w:tc>
        <w:tc>
          <w:tcPr>
            <w:tcW w:w="1840" w:type="dxa"/>
            <w:vAlign w:val="center"/>
          </w:tcPr>
          <w:p>
            <w:pPr>
              <w:jc w:val="center"/>
              <w:rPr>
                <w:rFonts w:ascii="Times New Roman" w:hAnsi="Times New Roman"/>
                <w:szCs w:val="21"/>
              </w:rPr>
            </w:pPr>
          </w:p>
        </w:tc>
        <w:tc>
          <w:tcPr>
            <w:tcW w:w="818" w:type="dxa"/>
            <w:vAlign w:val="center"/>
          </w:tcPr>
          <w:p>
            <w:pPr>
              <w:jc w:val="center"/>
              <w:rPr>
                <w:rFonts w:ascii="Times New Roman" w:hAnsi="Times New Roman"/>
                <w:szCs w:val="21"/>
              </w:rPr>
            </w:pPr>
          </w:p>
        </w:tc>
        <w:tc>
          <w:tcPr>
            <w:tcW w:w="1241" w:type="dxa"/>
            <w:vAlign w:val="center"/>
          </w:tcPr>
          <w:p>
            <w:pPr>
              <w:jc w:val="center"/>
              <w:rPr>
                <w:rFonts w:ascii="Times New Roman" w:hAnsi="Times New Roman"/>
                <w:szCs w:val="21"/>
              </w:rPr>
            </w:pPr>
          </w:p>
        </w:tc>
        <w:tc>
          <w:tcPr>
            <w:tcW w:w="2292" w:type="dxa"/>
            <w:vAlign w:val="center"/>
          </w:tcPr>
          <w:p>
            <w:pPr>
              <w:jc w:val="center"/>
              <w:rPr>
                <w:rFonts w:ascii="Times New Roman" w:hAnsi="Times New Roman"/>
                <w:szCs w:val="21"/>
              </w:rPr>
            </w:pPr>
          </w:p>
        </w:tc>
        <w:tc>
          <w:tcPr>
            <w:tcW w:w="1503" w:type="dxa"/>
            <w:vAlign w:val="center"/>
          </w:tcPr>
          <w:p>
            <w:pPr>
              <w:jc w:val="center"/>
              <w:rPr>
                <w:rFonts w:ascii="Times New Roman" w:hAnsi="Times New Roman"/>
                <w:szCs w:val="21"/>
              </w:rPr>
            </w:pPr>
          </w:p>
        </w:tc>
        <w:tc>
          <w:tcPr>
            <w:tcW w:w="720" w:type="dxa"/>
            <w:vAlign w:val="center"/>
          </w:tcPr>
          <w:p>
            <w:pPr>
              <w:jc w:val="center"/>
              <w:rPr>
                <w:rFonts w:ascii="Times New Roman" w:hAnsi="Times New Roman"/>
                <w:szCs w:val="21"/>
              </w:rPr>
            </w:pPr>
          </w:p>
        </w:tc>
      </w:tr>
      <w:tr>
        <w:tblPrEx>
          <w:tblW w:w="10167" w:type="dxa"/>
          <w:jc w:val="center"/>
          <w:tblLayout w:type="fixed"/>
          <w:tblCellMar>
            <w:top w:w="0" w:type="dxa"/>
            <w:left w:w="108" w:type="dxa"/>
            <w:bottom w:w="0" w:type="dxa"/>
            <w:right w:w="108" w:type="dxa"/>
          </w:tblCellMar>
        </w:tblPrEx>
        <w:trPr>
          <w:jc w:val="center"/>
        </w:trPr>
        <w:tc>
          <w:tcPr>
            <w:tcW w:w="540" w:type="dxa"/>
            <w:vAlign w:val="center"/>
          </w:tcPr>
          <w:p>
            <w:pPr>
              <w:jc w:val="center"/>
              <w:rPr>
                <w:rFonts w:ascii="宋体" w:hAnsi="宋体"/>
                <w:szCs w:val="21"/>
              </w:rPr>
            </w:pPr>
            <w:r>
              <w:rPr>
                <w:rFonts w:ascii="宋体" w:hAnsi="宋体" w:hint="eastAsia"/>
                <w:szCs w:val="21"/>
              </w:rPr>
              <w:t>2</w:t>
            </w:r>
          </w:p>
        </w:tc>
        <w:tc>
          <w:tcPr>
            <w:tcW w:w="1213" w:type="dxa"/>
            <w:vAlign w:val="center"/>
          </w:tcPr>
          <w:p>
            <w:pPr>
              <w:jc w:val="center"/>
              <w:rPr>
                <w:rFonts w:ascii="Times New Roman" w:hAnsi="Times New Roman"/>
                <w:szCs w:val="21"/>
              </w:rPr>
            </w:pPr>
          </w:p>
        </w:tc>
        <w:tc>
          <w:tcPr>
            <w:tcW w:w="1840" w:type="dxa"/>
            <w:vAlign w:val="center"/>
          </w:tcPr>
          <w:p>
            <w:pPr>
              <w:jc w:val="center"/>
              <w:rPr>
                <w:rFonts w:ascii="Times New Roman" w:hAnsi="Times New Roman"/>
                <w:szCs w:val="21"/>
              </w:rPr>
            </w:pPr>
          </w:p>
        </w:tc>
        <w:tc>
          <w:tcPr>
            <w:tcW w:w="818" w:type="dxa"/>
            <w:vAlign w:val="center"/>
          </w:tcPr>
          <w:p>
            <w:pPr>
              <w:jc w:val="center"/>
              <w:rPr>
                <w:rFonts w:ascii="Times New Roman" w:hAnsi="Times New Roman"/>
                <w:szCs w:val="21"/>
              </w:rPr>
            </w:pPr>
          </w:p>
        </w:tc>
        <w:tc>
          <w:tcPr>
            <w:tcW w:w="1241" w:type="dxa"/>
            <w:vAlign w:val="center"/>
          </w:tcPr>
          <w:p>
            <w:pPr>
              <w:jc w:val="center"/>
              <w:rPr>
                <w:rFonts w:ascii="Times New Roman" w:hAnsi="Times New Roman"/>
                <w:szCs w:val="21"/>
              </w:rPr>
            </w:pPr>
          </w:p>
        </w:tc>
        <w:tc>
          <w:tcPr>
            <w:tcW w:w="2292" w:type="dxa"/>
            <w:vAlign w:val="center"/>
          </w:tcPr>
          <w:p>
            <w:pPr>
              <w:jc w:val="center"/>
              <w:rPr>
                <w:rFonts w:ascii="Times New Roman" w:hAnsi="Times New Roman"/>
                <w:szCs w:val="21"/>
              </w:rPr>
            </w:pPr>
          </w:p>
        </w:tc>
        <w:tc>
          <w:tcPr>
            <w:tcW w:w="1503" w:type="dxa"/>
            <w:vAlign w:val="center"/>
          </w:tcPr>
          <w:p>
            <w:pPr>
              <w:jc w:val="center"/>
              <w:rPr>
                <w:rFonts w:ascii="Times New Roman" w:hAnsi="Times New Roman"/>
                <w:szCs w:val="21"/>
              </w:rPr>
            </w:pPr>
          </w:p>
        </w:tc>
        <w:tc>
          <w:tcPr>
            <w:tcW w:w="720" w:type="dxa"/>
            <w:vAlign w:val="center"/>
          </w:tcPr>
          <w:p>
            <w:pPr>
              <w:jc w:val="center"/>
              <w:rPr>
                <w:rFonts w:ascii="Times New Roman" w:hAnsi="Times New Roman"/>
                <w:szCs w:val="21"/>
              </w:rPr>
            </w:pPr>
          </w:p>
        </w:tc>
      </w:tr>
    </w:tbl>
    <w:p>
      <w:pPr>
        <w:spacing w:line="360" w:lineRule="auto"/>
        <w:rPr>
          <w:rFonts w:ascii="Times New Roman" w:hAnsi="Times New Roman"/>
          <w:szCs w:val="21"/>
        </w:rPr>
      </w:pPr>
      <w:r>
        <w:rPr>
          <w:rFonts w:ascii="Times New Roman" w:hAnsi="Times New Roman" w:hint="eastAsia"/>
          <w:szCs w:val="21"/>
        </w:rPr>
        <w:t>注</w:t>
      </w:r>
      <w:r>
        <w:rPr>
          <w:rFonts w:ascii="宋体" w:hAnsi="宋体" w:hint="eastAsia"/>
          <w:szCs w:val="21"/>
        </w:rPr>
        <w:t xml:space="preserve">：1. </w:t>
      </w:r>
      <w:r>
        <w:rPr>
          <w:rFonts w:ascii="宋体" w:hAnsi="宋体" w:hint="eastAsia"/>
          <w:b/>
          <w:szCs w:val="21"/>
        </w:rPr>
        <w:t>对</w:t>
      </w:r>
      <w:r>
        <w:rPr>
          <w:rFonts w:ascii="宋体" w:hAnsi="宋体"/>
          <w:b/>
          <w:szCs w:val="21"/>
        </w:rPr>
        <w:t>属于</w:t>
      </w:r>
      <w:r>
        <w:rPr>
          <w:rFonts w:ascii="宋体" w:hAnsi="宋体" w:hint="eastAsia"/>
          <w:b/>
          <w:szCs w:val="21"/>
        </w:rPr>
        <w:t>《关于调整优化节能产品环境标志产品政府采购执行机制的通知》（财库〔2019〕9号）、《关于印发环境标志产品政府采购品目清单的通知》（财库〔2019〕18号）和《关于印发节能产品政府采购品目清单的通知》（财库〔2019〕19号）</w:t>
      </w:r>
      <w:r>
        <w:rPr>
          <w:rFonts w:ascii="宋体" w:hAnsi="宋体"/>
          <w:b/>
          <w:szCs w:val="21"/>
        </w:rPr>
        <w:t>品目清单范围</w:t>
      </w:r>
      <w:r>
        <w:rPr>
          <w:rFonts w:ascii="宋体" w:hAnsi="宋体" w:hint="eastAsia"/>
          <w:b/>
          <w:szCs w:val="21"/>
        </w:rPr>
        <w:t>内</w:t>
      </w:r>
      <w:r>
        <w:rPr>
          <w:rFonts w:ascii="宋体" w:hAnsi="宋体"/>
          <w:b/>
          <w:szCs w:val="21"/>
        </w:rPr>
        <w:t>的</w:t>
      </w:r>
      <w:r>
        <w:rPr>
          <w:rFonts w:ascii="宋体" w:hAnsi="宋体" w:hint="eastAsia"/>
          <w:b/>
          <w:szCs w:val="21"/>
        </w:rPr>
        <w:t>投标产品，投标人须提供</w:t>
      </w:r>
      <w:r>
        <w:rPr>
          <w:rFonts w:ascii="宋体" w:hAnsi="宋体"/>
          <w:b/>
          <w:szCs w:val="21"/>
        </w:rPr>
        <w:t>国家确定的认证机构出具的、处于有效期之内的节能产品、环境标志产品认证证书，</w:t>
      </w:r>
      <w:r>
        <w:rPr>
          <w:rFonts w:ascii="宋体" w:hAnsi="宋体" w:hint="eastAsia"/>
          <w:b/>
          <w:szCs w:val="21"/>
        </w:rPr>
        <w:t>以及相应的节能或环境标志产品政府采购品目清单，并显著标识投标产品所处位置。</w:t>
      </w:r>
      <w:r>
        <w:rPr>
          <w:rFonts w:ascii="宋体" w:hAnsi="宋体" w:hint="eastAsia"/>
          <w:szCs w:val="21"/>
        </w:rPr>
        <w:t>提供以上证明材料的扫描件或复印件加盖投标人公章，提供的证书若存在不齐全、已过有效期或其他未被评标委员会接受的瑕疵将不予认可。</w:t>
      </w:r>
      <w:r>
        <w:rPr>
          <w:rFonts w:ascii="Times New Roman" w:hAnsi="Times New Roman" w:hint="eastAsia"/>
          <w:szCs w:val="21"/>
        </w:rPr>
        <w:t>投标产品若不属于上述清单或目录范围内，则无需填写该表。</w:t>
      </w:r>
    </w:p>
    <w:p>
      <w:pPr>
        <w:spacing w:line="360" w:lineRule="auto"/>
        <w:rPr>
          <w:rFonts w:ascii="宋体" w:hAnsi="宋体"/>
          <w:szCs w:val="21"/>
        </w:rPr>
      </w:pPr>
      <w:r>
        <w:rPr>
          <w:rFonts w:ascii="宋体" w:hAnsi="宋体" w:hint="eastAsia"/>
          <w:szCs w:val="21"/>
        </w:rPr>
        <w:t>2. “投标产品报价”栏中须准确填报该投标产品的投标单价、数量及投标合计报价；投标产品名称、规格型号、价格应与“分项报价表”一致，如不一致，以“分项报价表”为准。</w:t>
      </w:r>
    </w:p>
    <w:p>
      <w:pPr>
        <w:spacing w:line="360" w:lineRule="auto"/>
      </w:pPr>
      <w:r>
        <w:rPr>
          <w:rFonts w:ascii="宋体" w:hAnsi="宋体" w:hint="eastAsia"/>
          <w:szCs w:val="21"/>
        </w:rPr>
        <w:t>3. “属于优先采购清单的类别”栏中填写“节能产品政府采购品目清单”或“环境标志产品政府采购品目清单”。</w:t>
      </w:r>
      <w:r>
        <w:br w:type="page"/>
      </w:r>
    </w:p>
    <w:p>
      <w:pPr>
        <w:rPr>
          <w:rFonts w:ascii="仿宋_GB2312" w:eastAsia="仿宋_GB2312"/>
          <w:b/>
          <w:color w:val="FF0000"/>
          <w:sz w:val="30"/>
          <w:szCs w:val="30"/>
        </w:rPr>
      </w:pPr>
      <w:r>
        <w:rPr>
          <w:rFonts w:ascii="仿宋_GB2312" w:eastAsia="仿宋_GB2312" w:hint="eastAsia"/>
          <w:b/>
          <w:color w:val="FF0000"/>
          <w:sz w:val="30"/>
          <w:szCs w:val="30"/>
        </w:rPr>
        <w:t>投标文件附件（信息不公开部分）：</w:t>
      </w:r>
    </w:p>
    <w:p>
      <w:pPr>
        <w:keepNext/>
        <w:keepLines/>
        <w:spacing w:before="260" w:after="260"/>
        <w:jc w:val="center"/>
        <w:outlineLvl w:val="2"/>
        <w:rPr>
          <w:rFonts w:ascii="黑体" w:eastAsia="黑体" w:hAnsi="宋体"/>
          <w:bCs/>
          <w:kern w:val="0"/>
          <w:sz w:val="24"/>
          <w:szCs w:val="32"/>
        </w:rPr>
      </w:pPr>
      <w:r>
        <w:rPr>
          <w:rFonts w:ascii="黑体" w:eastAsia="黑体" w:hAnsi="宋体" w:hint="eastAsia"/>
          <w:bCs/>
          <w:kern w:val="0"/>
          <w:sz w:val="24"/>
          <w:szCs w:val="32"/>
        </w:rPr>
        <w:t>五、政府采购违法行为风险知悉确认书</w:t>
      </w:r>
    </w:p>
    <w:p>
      <w:pPr>
        <w:spacing w:line="360" w:lineRule="auto"/>
        <w:ind w:firstLine="420" w:firstLineChars="200"/>
        <w:rPr>
          <w:rFonts w:ascii="宋体" w:hAnsi="宋体"/>
          <w:szCs w:val="21"/>
        </w:rPr>
      </w:pPr>
      <w:r>
        <w:rPr>
          <w:rFonts w:ascii="宋体" w:hAnsi="宋体" w:hint="eastAsia"/>
          <w:szCs w:val="21"/>
        </w:rPr>
        <w:t>本公司在投标前已充分知悉以下情形为参与政府采购活动时的重大风险事项，并承诺已对下述风险提示事项重点排查，做到严谨、诚信、依法依规参与政府采购活动。</w:t>
      </w:r>
    </w:p>
    <w:p>
      <w:pPr>
        <w:spacing w:line="360" w:lineRule="auto"/>
        <w:ind w:firstLine="420" w:firstLineChars="200"/>
        <w:rPr>
          <w:rFonts w:ascii="宋体" w:hAnsi="宋体"/>
          <w:b/>
          <w:szCs w:val="21"/>
        </w:rPr>
      </w:pPr>
      <w:r>
        <w:rPr>
          <w:rFonts w:ascii="宋体" w:hAnsi="宋体" w:hint="eastAsia"/>
          <w:b/>
          <w:szCs w:val="21"/>
        </w:rPr>
        <w:t>一、本公司已充分知悉“隐瞒真实情况，提供虚假资料”的法定情形，相关情形包括但不限于：</w:t>
      </w:r>
    </w:p>
    <w:p>
      <w:pPr>
        <w:spacing w:line="360" w:lineRule="auto"/>
        <w:ind w:firstLine="420" w:firstLineChars="200"/>
        <w:rPr>
          <w:rFonts w:ascii="宋体" w:hAnsi="宋体"/>
          <w:szCs w:val="21"/>
        </w:rPr>
      </w:pPr>
      <w:r>
        <w:rPr>
          <w:rFonts w:ascii="宋体" w:hAnsi="宋体" w:hint="eastAsia"/>
          <w:szCs w:val="21"/>
        </w:rPr>
        <w:t>（一）通过转让或者租借等方式从其他单位获取资格或者资质证书投标的。</w:t>
      </w:r>
    </w:p>
    <w:p>
      <w:pPr>
        <w:spacing w:line="360" w:lineRule="auto"/>
        <w:ind w:firstLine="420" w:firstLineChars="200"/>
        <w:rPr>
          <w:rFonts w:ascii="宋体" w:hAnsi="宋体"/>
          <w:szCs w:val="21"/>
        </w:rPr>
      </w:pPr>
      <w:r>
        <w:rPr>
          <w:rFonts w:ascii="宋体" w:hAnsi="宋体" w:hint="eastAsia"/>
          <w:szCs w:val="21"/>
        </w:rPr>
        <w:t>（二）由其他单位或者其他单位负责人在投标供应商编制的投标文件上加盖印章或者签字的。</w:t>
      </w:r>
    </w:p>
    <w:p>
      <w:pPr>
        <w:spacing w:line="360" w:lineRule="auto"/>
        <w:ind w:firstLine="420" w:firstLineChars="200"/>
        <w:rPr>
          <w:rFonts w:ascii="宋体" w:hAnsi="宋体"/>
          <w:szCs w:val="21"/>
        </w:rPr>
      </w:pPr>
      <w:r>
        <w:rPr>
          <w:rFonts w:ascii="宋体" w:hAnsi="宋体" w:hint="eastAsia"/>
          <w:szCs w:val="21"/>
        </w:rPr>
        <w:t>（三）项目负责人或者主要技术人员不是本单位人员的。</w:t>
      </w:r>
    </w:p>
    <w:p>
      <w:pPr>
        <w:spacing w:line="360" w:lineRule="auto"/>
        <w:ind w:firstLine="420" w:firstLineChars="200"/>
        <w:rPr>
          <w:rFonts w:ascii="宋体" w:hAnsi="宋体"/>
          <w:szCs w:val="21"/>
        </w:rPr>
      </w:pPr>
      <w:r>
        <w:rPr>
          <w:rFonts w:ascii="宋体" w:hAnsi="宋体" w:hint="eastAsia"/>
          <w:szCs w:val="21"/>
        </w:rPr>
        <w:t>（四）投标保证金不是从投标供应商基本账户转出的。</w:t>
      </w:r>
    </w:p>
    <w:p>
      <w:pPr>
        <w:spacing w:line="360" w:lineRule="auto"/>
        <w:ind w:firstLine="420" w:firstLineChars="200"/>
        <w:rPr>
          <w:rFonts w:ascii="宋体" w:hAnsi="宋体"/>
          <w:szCs w:val="21"/>
        </w:rPr>
      </w:pPr>
      <w:r>
        <w:rPr>
          <w:rFonts w:ascii="宋体" w:hAnsi="宋体" w:hint="eastAsia"/>
          <w:szCs w:val="21"/>
        </w:rPr>
        <w:t>（五）其他隐瞒真实情况、提供虚假资料的行为。</w:t>
      </w:r>
    </w:p>
    <w:p>
      <w:pPr>
        <w:spacing w:line="360" w:lineRule="auto"/>
        <w:ind w:firstLine="420" w:firstLineChars="200"/>
        <w:rPr>
          <w:rFonts w:ascii="宋体" w:hAnsi="宋体"/>
          <w:b/>
          <w:szCs w:val="21"/>
        </w:rPr>
      </w:pPr>
      <w:r>
        <w:rPr>
          <w:rFonts w:ascii="宋体" w:hAnsi="宋体" w:hint="eastAsia"/>
          <w:b/>
          <w:szCs w:val="21"/>
        </w:rPr>
        <w:t>二、本公司已充分知悉“与其他采购参加人串通投标”的法定情形，相关情形包括但不限于：</w:t>
      </w:r>
    </w:p>
    <w:p>
      <w:pPr>
        <w:spacing w:line="360" w:lineRule="auto"/>
        <w:ind w:firstLine="420" w:firstLineChars="200"/>
        <w:rPr>
          <w:rFonts w:ascii="宋体" w:hAnsi="宋体"/>
          <w:szCs w:val="21"/>
        </w:rPr>
      </w:pPr>
      <w:r>
        <w:rPr>
          <w:rFonts w:ascii="宋体" w:hAnsi="宋体" w:hint="eastAsia"/>
          <w:szCs w:val="21"/>
        </w:rPr>
        <w:t>（一）投标供应商之间相互约定给予未中标的供应商利益补偿。</w:t>
      </w:r>
    </w:p>
    <w:p>
      <w:pPr>
        <w:spacing w:line="360" w:lineRule="auto"/>
        <w:ind w:firstLine="420" w:firstLineChars="200"/>
        <w:rPr>
          <w:rFonts w:ascii="宋体" w:hAnsi="宋体"/>
          <w:szCs w:val="21"/>
        </w:rPr>
      </w:pPr>
      <w:r>
        <w:rPr>
          <w:rFonts w:ascii="宋体" w:hAnsi="宋体" w:hint="eastAsia"/>
          <w:szCs w:val="21"/>
        </w:rPr>
        <w:t>（二）不同投标供应商的法定代表人、主要经营负责人、项目投标授权代表人、项目负责人、主要技术人员为同一人、属同一单位或者在同一单位缴纳社会保险。</w:t>
      </w:r>
    </w:p>
    <w:p>
      <w:pPr>
        <w:spacing w:line="360" w:lineRule="auto"/>
        <w:ind w:firstLine="420" w:firstLineChars="200"/>
        <w:rPr>
          <w:rFonts w:ascii="宋体" w:hAnsi="宋体"/>
          <w:szCs w:val="21"/>
        </w:rPr>
      </w:pPr>
      <w:r>
        <w:rPr>
          <w:rFonts w:ascii="宋体" w:hAnsi="宋体" w:hint="eastAsia"/>
          <w:szCs w:val="21"/>
        </w:rPr>
        <w:t>（三）不同投标供应商的投标文件由同一单位或者同一人编制，或者由同一人分阶段参与编制的。</w:t>
      </w:r>
    </w:p>
    <w:p>
      <w:pPr>
        <w:spacing w:line="360" w:lineRule="auto"/>
        <w:ind w:firstLine="420" w:firstLineChars="200"/>
        <w:rPr>
          <w:rFonts w:ascii="宋体" w:hAnsi="宋体"/>
          <w:szCs w:val="21"/>
        </w:rPr>
      </w:pPr>
      <w:r>
        <w:rPr>
          <w:rFonts w:ascii="宋体" w:hAnsi="宋体" w:hint="eastAsia"/>
          <w:szCs w:val="21"/>
        </w:rPr>
        <w:t>（四）不同投标供应商的投标文件或部分投标文件相互混装。</w:t>
      </w:r>
    </w:p>
    <w:p>
      <w:pPr>
        <w:spacing w:line="360" w:lineRule="auto"/>
        <w:ind w:firstLine="420" w:firstLineChars="200"/>
        <w:rPr>
          <w:rFonts w:ascii="宋体" w:hAnsi="宋体"/>
          <w:szCs w:val="21"/>
        </w:rPr>
      </w:pPr>
      <w:r>
        <w:rPr>
          <w:rFonts w:ascii="宋体" w:hAnsi="宋体" w:hint="eastAsia"/>
          <w:szCs w:val="21"/>
        </w:rPr>
        <w:t>（五）不同投标供应商的投标文件内容存在非正常一致。</w:t>
      </w:r>
    </w:p>
    <w:p>
      <w:pPr>
        <w:spacing w:line="360" w:lineRule="auto"/>
        <w:ind w:firstLine="420" w:firstLineChars="200"/>
        <w:rPr>
          <w:rFonts w:ascii="宋体" w:hAnsi="宋体"/>
          <w:szCs w:val="21"/>
        </w:rPr>
      </w:pPr>
      <w:r>
        <w:rPr>
          <w:rFonts w:ascii="宋体" w:hAnsi="宋体" w:hint="eastAsia"/>
          <w:szCs w:val="21"/>
        </w:rPr>
        <w:t>（六）由同一单位工作人员为两家以上（含两家）供应商进行同一项投标活动的。</w:t>
      </w:r>
    </w:p>
    <w:p>
      <w:pPr>
        <w:spacing w:line="360" w:lineRule="auto"/>
        <w:ind w:firstLine="420" w:firstLineChars="200"/>
        <w:rPr>
          <w:rFonts w:ascii="宋体" w:hAnsi="宋体"/>
          <w:szCs w:val="21"/>
        </w:rPr>
      </w:pPr>
      <w:r>
        <w:rPr>
          <w:rFonts w:ascii="宋体" w:hAnsi="宋体" w:hint="eastAsia"/>
          <w:szCs w:val="21"/>
        </w:rPr>
        <w:t>（七）不同投标人的投标报价呈规律性差异。</w:t>
      </w:r>
    </w:p>
    <w:p>
      <w:pPr>
        <w:spacing w:line="360" w:lineRule="auto"/>
        <w:ind w:firstLine="420" w:firstLineChars="200"/>
        <w:rPr>
          <w:rFonts w:ascii="宋体" w:hAnsi="宋体"/>
          <w:szCs w:val="21"/>
        </w:rPr>
      </w:pPr>
      <w:r>
        <w:rPr>
          <w:rFonts w:ascii="宋体" w:hAnsi="宋体" w:hint="eastAsia"/>
          <w:szCs w:val="21"/>
        </w:rPr>
        <w:t>（八）不同投标人的投标保证金从同一单位或者个人的账户转出。</w:t>
      </w:r>
    </w:p>
    <w:p>
      <w:pPr>
        <w:spacing w:line="360" w:lineRule="auto"/>
        <w:ind w:firstLine="420" w:firstLineChars="200"/>
        <w:rPr>
          <w:rFonts w:ascii="宋体" w:hAnsi="宋体"/>
          <w:szCs w:val="21"/>
        </w:rPr>
      </w:pPr>
      <w:r>
        <w:rPr>
          <w:rFonts w:ascii="宋体" w:hAnsi="宋体" w:hint="eastAsia"/>
          <w:szCs w:val="21"/>
        </w:rPr>
        <w:t>（九）主管部门依照法律、法规认定的其他情形。</w:t>
      </w:r>
    </w:p>
    <w:p>
      <w:pPr>
        <w:spacing w:line="360" w:lineRule="auto"/>
        <w:ind w:firstLine="420" w:firstLineChars="200"/>
        <w:rPr>
          <w:rFonts w:ascii="宋体" w:hAnsi="宋体"/>
          <w:b/>
          <w:szCs w:val="21"/>
        </w:rPr>
      </w:pPr>
      <w:r>
        <w:rPr>
          <w:rFonts w:ascii="宋体" w:hAnsi="宋体" w:hint="eastAsia"/>
          <w:b/>
          <w:szCs w:val="21"/>
        </w:rPr>
        <w:t>三、本公司已充分知悉下列情形所对应的法律风险，并在投标前已对相关风险事项进行排查。</w:t>
      </w:r>
    </w:p>
    <w:p>
      <w:pPr>
        <w:spacing w:line="360" w:lineRule="auto"/>
        <w:ind w:firstLine="420" w:firstLineChars="200"/>
        <w:rPr>
          <w:rFonts w:ascii="宋体" w:hAnsi="宋体"/>
          <w:b/>
          <w:szCs w:val="21"/>
        </w:rPr>
      </w:pPr>
      <w:r>
        <w:rPr>
          <w:rFonts w:ascii="宋体" w:hAnsi="宋体" w:hint="eastAsia"/>
          <w:szCs w:val="21"/>
        </w:rPr>
        <w:t>（一）对于从其他主体获取的投标资料，供应商应审慎核查，确保投标资料的真实性。</w:t>
      </w:r>
      <w:r>
        <w:rPr>
          <w:rFonts w:ascii="宋体" w:hAnsi="宋体" w:hint="eastAsia"/>
          <w:b/>
          <w:szCs w:val="21"/>
        </w:rPr>
        <w:t>如主管部门查实投标文件中存在虚假资料的，无论相关资料是否由第三方或本公司员工提供，均不影响主管部门对供应商存在“隐瞒真实情况，提供虚假资料”违法行为的认定。</w:t>
      </w:r>
    </w:p>
    <w:p>
      <w:pPr>
        <w:spacing w:line="360" w:lineRule="auto"/>
        <w:ind w:firstLine="420" w:firstLineChars="200"/>
        <w:rPr>
          <w:rFonts w:ascii="宋体" w:hAnsi="宋体"/>
          <w:szCs w:val="21"/>
        </w:rPr>
      </w:pPr>
      <w:r>
        <w:rPr>
          <w:rFonts w:ascii="宋体" w:hAnsi="宋体" w:hint="eastAsia"/>
          <w:szCs w:val="21"/>
        </w:rPr>
        <w:t>（二）对于涉及国家机关出具的公文、证件、证明材料等文件，一旦涉嫌虚假，经查实，主管部门将依法从严处理，并移送有关部门追究法律责任；涉嫌犯罪的，主管部门将一并移送司法机关追究法律责任。</w:t>
      </w:r>
    </w:p>
    <w:p>
      <w:pPr>
        <w:spacing w:line="360" w:lineRule="auto"/>
        <w:ind w:firstLine="420" w:firstLineChars="200"/>
        <w:rPr>
          <w:rFonts w:ascii="宋体" w:hAnsi="宋体"/>
          <w:szCs w:val="21"/>
        </w:rPr>
      </w:pPr>
      <w:r>
        <w:rPr>
          <w:rFonts w:ascii="宋体" w:hAnsi="宋体" w:hint="eastAsia"/>
          <w:szCs w:val="21"/>
        </w:rPr>
        <w:t>（三）对于涉及安全生产、特种作业、抢险救灾、防疫等政府采购项目，供应商实施提供虚假资料、串通投标等违法行为的，主管部门将依法从严处理。</w:t>
      </w:r>
    </w:p>
    <w:p>
      <w:pPr>
        <w:spacing w:line="360" w:lineRule="auto"/>
        <w:ind w:firstLine="420" w:firstLineChars="200"/>
        <w:rPr>
          <w:rFonts w:ascii="宋体" w:hAnsi="宋体"/>
          <w:szCs w:val="21"/>
        </w:rPr>
      </w:pPr>
      <w:r>
        <w:rPr>
          <w:rFonts w:ascii="宋体" w:hAnsi="宋体" w:hint="eastAsia"/>
          <w:szCs w:val="21"/>
        </w:rPr>
        <w:t>（四）供应商应严格规范项目授权代表、员工参与招标投标的行为，加强对投标文件的审核。项目授权代表、员工编制、上传投标文件等行为违反政府采购法律法规或招标文件要求的，投标供应商应当依法承担相应法律责任。</w:t>
      </w:r>
    </w:p>
    <w:p>
      <w:pPr>
        <w:spacing w:line="360" w:lineRule="auto"/>
        <w:ind w:firstLine="420" w:firstLineChars="200"/>
        <w:rPr>
          <w:rFonts w:ascii="宋体" w:hAnsi="宋体"/>
          <w:szCs w:val="21"/>
        </w:rPr>
      </w:pPr>
      <w:r>
        <w:rPr>
          <w:rFonts w:ascii="宋体" w:hAnsi="宋体" w:hint="eastAsia"/>
          <w:szCs w:val="21"/>
        </w:rPr>
        <w:t>（五）供应商对投标电子密钥负有妥善保管、及时变更和续期等主体责任。供应商使用电子密钥在深圳政府采购网站进行的活动，均具有法律效力，须承担相应的法律后果。供应商擅自将投标密钥出借他人使用所造成的法律后果，由供应商自行承担。</w:t>
      </w:r>
    </w:p>
    <w:p>
      <w:pPr>
        <w:spacing w:line="360" w:lineRule="auto"/>
        <w:ind w:firstLine="420" w:firstLineChars="200"/>
        <w:rPr>
          <w:rFonts w:ascii="宋体" w:hAnsi="宋体"/>
          <w:szCs w:val="21"/>
        </w:rPr>
      </w:pPr>
      <w:r>
        <w:rPr>
          <w:rFonts w:ascii="宋体" w:hAnsi="宋体" w:hint="eastAsia"/>
          <w:szCs w:val="21"/>
        </w:rPr>
        <w:t>（六）单位负责人为同一人或者存在直接控股、管理关系的不同供应商，不得参加同一合同项下的政府采购活动。相关情形如查实，依法作投标无效处理；涉嫌串通投标等违法行为的，主管部门将依法调查处理。</w:t>
      </w:r>
    </w:p>
    <w:p>
      <w:pPr>
        <w:spacing w:line="360" w:lineRule="auto"/>
        <w:ind w:firstLine="420" w:firstLineChars="200"/>
        <w:rPr>
          <w:rFonts w:ascii="宋体" w:hAnsi="宋体"/>
          <w:szCs w:val="21"/>
        </w:rPr>
      </w:pPr>
      <w:r>
        <w:rPr>
          <w:rFonts w:ascii="宋体" w:hAnsi="宋体" w:hint="eastAsia"/>
          <w:b/>
          <w:szCs w:val="21"/>
        </w:rPr>
        <w:t>四、本公司已充分知悉政府采购违法、违规行为的法律后果。</w:t>
      </w:r>
      <w:r>
        <w:rPr>
          <w:rFonts w:ascii="宋体" w:hAnsi="宋体" w:hint="eastAsia"/>
          <w:szCs w:val="21"/>
        </w:rPr>
        <w:t>经查实，若投标供应商存在政府采购违法、违规行为，主管部门将依据《深圳经济特区政府采购条例》第五十七条的规定，处以一至三年内禁止参与本市政府采购，并由主管部门记入供应商诚信档案，处采购金额千分之十以上千分之二十以下罚款；情节严重的，取消参与本市政府采购资格，处采购金额千分之二十以上千分之三十以下罚款，并由市场监管部门依法吊销营业执照。</w:t>
      </w:r>
    </w:p>
    <w:p>
      <w:pPr>
        <w:spacing w:line="360" w:lineRule="auto"/>
        <w:ind w:firstLine="420" w:firstLineChars="200"/>
        <w:rPr>
          <w:rFonts w:ascii="宋体" w:hAnsi="宋体"/>
          <w:b/>
          <w:szCs w:val="21"/>
        </w:rPr>
      </w:pPr>
      <w:r>
        <w:rPr>
          <w:rFonts w:ascii="宋体" w:hAnsi="宋体" w:hint="eastAsia"/>
          <w:b/>
          <w:szCs w:val="21"/>
        </w:rPr>
        <w:t>以下文字请投标供应商抄写并确认：“本公司已仔细阅读《政府采购违法行为风险知悉确认书》，充分知悉违法行为的法律后果，并承诺将严谨、诚信、依法依规参与政府采购活动”。</w:t>
      </w:r>
    </w:p>
    <w:p>
      <w:pPr>
        <w:spacing w:line="360" w:lineRule="auto"/>
        <w:ind w:firstLine="420" w:firstLineChars="200"/>
        <w:rPr>
          <w:rFonts w:ascii="宋体" w:hAnsi="宋体" w:eastAsiaTheme="minorEastAsia" w:cstheme="minorBidi"/>
          <w:szCs w:val="21"/>
          <w:u w:val="single"/>
        </w:rPr>
      </w:pPr>
      <w:r>
        <w:rPr>
          <w:rFonts w:ascii="宋体" w:hAnsi="宋体" w:eastAsiaTheme="minorEastAsia" w:cstheme="minorBidi" w:hint="eastAsia"/>
          <w:szCs w:val="21"/>
          <w:u w:val="single"/>
        </w:rPr>
        <w:t xml:space="preserve">                                                                                   </w:t>
      </w:r>
    </w:p>
    <w:p>
      <w:pPr>
        <w:spacing w:line="360" w:lineRule="auto"/>
        <w:rPr>
          <w:rFonts w:ascii="宋体" w:hAnsi="宋体" w:eastAsiaTheme="minorEastAsia" w:cstheme="minorBidi"/>
          <w:szCs w:val="21"/>
          <w:u w:val="single"/>
        </w:rPr>
      </w:pPr>
      <w:r>
        <w:rPr>
          <w:rFonts w:ascii="宋体" w:hAnsi="宋体" w:eastAsiaTheme="minorEastAsia" w:cstheme="minorBidi" w:hint="eastAsia"/>
          <w:szCs w:val="21"/>
          <w:u w:val="single"/>
        </w:rPr>
        <w:t xml:space="preserve">                                                                                       </w:t>
      </w:r>
    </w:p>
    <w:p>
      <w:pPr>
        <w:spacing w:line="360" w:lineRule="auto"/>
        <w:rPr>
          <w:rFonts w:ascii="宋体" w:hAnsi="宋体" w:eastAsiaTheme="minorEastAsia" w:cstheme="minorBidi"/>
          <w:szCs w:val="21"/>
          <w:u w:val="single"/>
        </w:rPr>
      </w:pPr>
      <w:r>
        <w:rPr>
          <w:rFonts w:ascii="宋体" w:hAnsi="宋体" w:eastAsiaTheme="minorEastAsia" w:cstheme="minorBidi" w:hint="eastAsia"/>
          <w:szCs w:val="21"/>
          <w:u w:val="single"/>
        </w:rPr>
        <w:t xml:space="preserve">                                                                                       </w:t>
      </w:r>
    </w:p>
    <w:p>
      <w:pPr>
        <w:spacing w:line="360" w:lineRule="auto"/>
        <w:rPr>
          <w:rFonts w:ascii="宋体" w:hAnsi="宋体"/>
          <w:szCs w:val="21"/>
          <w:u w:val="single"/>
        </w:rPr>
      </w:pPr>
    </w:p>
    <w:p>
      <w:pPr>
        <w:spacing w:line="360" w:lineRule="auto"/>
        <w:ind w:firstLine="420" w:firstLineChars="200"/>
        <w:rPr>
          <w:rFonts w:ascii="宋体" w:hAnsi="宋体"/>
          <w:szCs w:val="21"/>
        </w:rPr>
      </w:pPr>
      <w:r>
        <w:rPr>
          <w:rFonts w:ascii="宋体" w:hAnsi="宋体" w:hint="eastAsia"/>
          <w:szCs w:val="21"/>
        </w:rPr>
        <w:t>负责人</w:t>
      </w:r>
      <w:r>
        <w:rPr>
          <w:rFonts w:ascii="宋体" w:hAnsi="宋体"/>
          <w:szCs w:val="21"/>
        </w:rPr>
        <w:t>/</w:t>
      </w:r>
      <w:r>
        <w:rPr>
          <w:rFonts w:ascii="宋体" w:hAnsi="宋体" w:hint="eastAsia"/>
          <w:szCs w:val="21"/>
        </w:rPr>
        <w:t>投标授权代表签名：</w:t>
      </w:r>
    </w:p>
    <w:p>
      <w:pPr>
        <w:spacing w:line="360" w:lineRule="auto"/>
        <w:ind w:firstLine="420" w:firstLineChars="200"/>
        <w:rPr>
          <w:rFonts w:ascii="宋体" w:hAnsi="宋体"/>
          <w:szCs w:val="21"/>
        </w:rPr>
      </w:pPr>
      <w:r>
        <w:rPr>
          <w:rFonts w:ascii="宋体" w:hAnsi="宋体" w:hint="eastAsia"/>
          <w:szCs w:val="21"/>
        </w:rPr>
        <w:t>知悉人（公章）：</w:t>
      </w:r>
    </w:p>
    <w:p>
      <w:pPr>
        <w:spacing w:line="360" w:lineRule="auto"/>
        <w:ind w:firstLine="420" w:firstLineChars="200"/>
        <w:rPr>
          <w:rFonts w:ascii="宋体" w:hAnsi="宋体"/>
          <w:szCs w:val="21"/>
        </w:rPr>
      </w:pPr>
      <w:r>
        <w:rPr>
          <w:rFonts w:ascii="宋体" w:hAnsi="宋体" w:hint="eastAsia"/>
          <w:szCs w:val="21"/>
        </w:rPr>
        <w:t>日期：</w:t>
      </w:r>
    </w:p>
    <w:p>
      <w:pPr>
        <w:spacing w:line="360" w:lineRule="auto"/>
        <w:ind w:firstLine="420" w:firstLineChars="200"/>
        <w:rPr>
          <w:rFonts w:ascii="宋体" w:hAnsi="宋体"/>
          <w:szCs w:val="21"/>
        </w:rPr>
      </w:pPr>
    </w:p>
    <w:p>
      <w:pPr>
        <w:rPr>
          <w:rFonts w:ascii="宋体" w:hAnsi="宋体"/>
          <w:szCs w:val="21"/>
        </w:rPr>
      </w:pPr>
      <w:r>
        <w:rPr>
          <w:rFonts w:hint="eastAsia"/>
          <w:szCs w:val="21"/>
          <w:u w:val="single"/>
        </w:rPr>
        <w:t>（备注：如联合体投标，知悉人处仅需加盖牵头人的公章）</w:t>
      </w:r>
    </w:p>
    <w:p>
      <w:pPr>
        <w:rPr>
          <w:rFonts w:ascii="仿宋_GB2312" w:eastAsia="仿宋_GB2312"/>
          <w:b/>
          <w:sz w:val="30"/>
          <w:szCs w:val="30"/>
        </w:rPr>
      </w:pPr>
    </w:p>
    <w:p>
      <w:pPr>
        <w:keepNext/>
        <w:keepLines/>
        <w:spacing w:before="260" w:after="260"/>
        <w:jc w:val="center"/>
        <w:outlineLvl w:val="2"/>
        <w:rPr>
          <w:rFonts w:ascii="黑体" w:eastAsia="黑体" w:hAnsi="宋体"/>
          <w:bCs/>
          <w:kern w:val="0"/>
          <w:sz w:val="24"/>
          <w:szCs w:val="32"/>
        </w:rPr>
      </w:pPr>
      <w:r>
        <w:rPr>
          <w:rFonts w:ascii="黑体" w:eastAsia="黑体" w:hAnsi="宋体" w:hint="eastAsia"/>
          <w:bCs/>
          <w:kern w:val="0"/>
          <w:sz w:val="24"/>
          <w:szCs w:val="32"/>
        </w:rPr>
        <w:t>六、法定代表人（负责人）资格证明书</w:t>
      </w:r>
    </w:p>
    <w:p>
      <w:pPr>
        <w:rPr>
          <w:rFonts w:ascii="Times New Roman" w:hAnsi="Times New Roman"/>
          <w:sz w:val="24"/>
          <w:szCs w:val="24"/>
        </w:rPr>
      </w:pPr>
    </w:p>
    <w:p>
      <w:pPr>
        <w:spacing w:line="360" w:lineRule="auto"/>
        <w:rPr>
          <w:rFonts w:ascii="Times New Roman" w:hAnsi="Times New Roman"/>
          <w:szCs w:val="21"/>
        </w:rPr>
      </w:pPr>
      <w:r>
        <w:rPr>
          <w:rFonts w:ascii="Times New Roman" w:hAnsi="Times New Roman" w:hint="eastAsia"/>
          <w:szCs w:val="21"/>
        </w:rPr>
        <w:t xml:space="preserve">   </w:t>
      </w:r>
      <w:r>
        <w:rPr>
          <w:rFonts w:ascii="Times New Roman" w:hAnsi="Times New Roman" w:hint="eastAsia"/>
          <w:szCs w:val="21"/>
          <w:u w:val="single"/>
        </w:rPr>
        <w:t xml:space="preserve">         </w:t>
      </w:r>
      <w:r>
        <w:rPr>
          <w:rFonts w:ascii="Times New Roman" w:hAnsi="Times New Roman" w:hint="eastAsia"/>
          <w:szCs w:val="21"/>
        </w:rPr>
        <w:t>同志，现任我单位</w:t>
      </w:r>
      <w:r>
        <w:rPr>
          <w:rFonts w:ascii="Times New Roman" w:hAnsi="Times New Roman" w:hint="eastAsia"/>
          <w:szCs w:val="21"/>
          <w:u w:val="single"/>
        </w:rPr>
        <w:t xml:space="preserve">         </w:t>
      </w:r>
      <w:r>
        <w:rPr>
          <w:rFonts w:ascii="Times New Roman" w:hAnsi="Times New Roman" w:hint="eastAsia"/>
          <w:szCs w:val="21"/>
        </w:rPr>
        <w:t>职务，为法定代表人</w:t>
      </w:r>
      <w:r>
        <w:rPr>
          <w:rFonts w:ascii="黑体" w:eastAsia="黑体" w:hAnsi="Times New Roman" w:hint="eastAsia"/>
          <w:b/>
          <w:kern w:val="0"/>
          <w:sz w:val="24"/>
          <w:szCs w:val="24"/>
        </w:rPr>
        <w:t>（负责人）</w:t>
      </w:r>
      <w:r>
        <w:rPr>
          <w:rFonts w:ascii="Times New Roman" w:hAnsi="Times New Roman" w:hint="eastAsia"/>
          <w:szCs w:val="21"/>
        </w:rPr>
        <w:t>，特此证明。</w:t>
      </w:r>
    </w:p>
    <w:p>
      <w:pPr>
        <w:spacing w:line="360" w:lineRule="auto"/>
        <w:rPr>
          <w:rFonts w:ascii="Times New Roman" w:hAnsi="Times New Roman"/>
          <w:szCs w:val="21"/>
        </w:rPr>
      </w:pPr>
      <w:r>
        <w:rPr>
          <w:rFonts w:ascii="Times New Roman" w:hAnsi="Times New Roman" w:hint="eastAsia"/>
          <w:szCs w:val="21"/>
        </w:rPr>
        <w:t>说明：1、法定代表人为企业事业单位、国家机关、社会团体的主要负责人。</w:t>
      </w:r>
    </w:p>
    <w:p>
      <w:pPr>
        <w:rPr>
          <w:rFonts w:ascii="Times New Roman" w:hAnsi="Times New Roman"/>
          <w:szCs w:val="21"/>
        </w:rPr>
      </w:pPr>
      <w:r>
        <w:rPr>
          <w:rFonts w:ascii="Times New Roman" w:hAnsi="Times New Roman" w:hint="eastAsia"/>
          <w:szCs w:val="21"/>
        </w:rPr>
        <w:t xml:space="preserve">      2、内容必须填写真实、清楚，涂改无效，不得转让、买卖。</w:t>
      </w:r>
    </w:p>
    <w:p>
      <w:pPr>
        <w:spacing w:line="360" w:lineRule="auto"/>
        <w:rPr>
          <w:rFonts w:ascii="Times New Roman" w:hAnsi="Times New Roman"/>
          <w:b/>
          <w:szCs w:val="21"/>
        </w:rPr>
      </w:pPr>
    </w:p>
    <w:p>
      <w:pPr>
        <w:spacing w:line="360" w:lineRule="auto"/>
        <w:rPr>
          <w:rFonts w:ascii="Times New Roman" w:hAnsi="Times New Roman"/>
          <w:b/>
          <w:sz w:val="24"/>
          <w:szCs w:val="24"/>
        </w:rPr>
      </w:pPr>
      <w:r>
        <w:rPr>
          <w:rFonts w:ascii="Times New Roman" w:hAnsi="Times New Roman" w:hint="eastAsia"/>
          <w:b/>
          <w:sz w:val="24"/>
          <w:szCs w:val="24"/>
        </w:rPr>
        <w:t>附：要求必须提供法定代表人（负责人）身份证扫描件（正反两面）。</w:t>
      </w:r>
    </w:p>
    <w:p>
      <w:pPr>
        <w:spacing w:line="360" w:lineRule="auto"/>
        <w:rPr>
          <w:rFonts w:ascii="Times New Roman" w:hAnsi="Times New Roman"/>
          <w:b/>
          <w:sz w:val="24"/>
          <w:szCs w:val="24"/>
        </w:rPr>
      </w:pPr>
    </w:p>
    <w:p>
      <w:pPr>
        <w:rPr>
          <w:rFonts w:ascii="宋体" w:hAnsi="宋体"/>
          <w:szCs w:val="21"/>
        </w:rPr>
      </w:pPr>
      <w:r>
        <w:rPr>
          <w:rFonts w:hint="eastAsia"/>
          <w:szCs w:val="21"/>
          <w:u w:val="single"/>
        </w:rPr>
        <w:t>（备注：如联合体投标，单位一栏仅需填写牵头人的名称）</w:t>
      </w:r>
    </w:p>
    <w:p>
      <w:pPr>
        <w:spacing w:line="360" w:lineRule="auto"/>
        <w:rPr>
          <w:rFonts w:ascii="Times New Roman" w:hAnsi="Times New Roman"/>
          <w:b/>
          <w:sz w:val="24"/>
          <w:szCs w:val="24"/>
        </w:rPr>
      </w:pPr>
    </w:p>
    <w:p>
      <w:pPr>
        <w:keepNext/>
        <w:keepLines/>
        <w:spacing w:before="260" w:after="260"/>
        <w:jc w:val="center"/>
        <w:outlineLvl w:val="2"/>
        <w:rPr>
          <w:rFonts w:ascii="黑体" w:eastAsia="黑体" w:hAnsi="宋体"/>
          <w:bCs/>
          <w:sz w:val="24"/>
          <w:szCs w:val="24"/>
        </w:rPr>
      </w:pPr>
      <w:r>
        <w:rPr>
          <w:rFonts w:ascii="宋体" w:hAnsi="宋体"/>
          <w:b/>
          <w:bCs/>
          <w:sz w:val="28"/>
          <w:szCs w:val="32"/>
        </w:rPr>
        <w:tab/>
      </w:r>
      <w:r>
        <w:rPr>
          <w:rFonts w:ascii="黑体" w:eastAsia="黑体" w:hAnsi="宋体" w:hint="eastAsia"/>
          <w:bCs/>
          <w:kern w:val="0"/>
          <w:sz w:val="24"/>
          <w:szCs w:val="24"/>
        </w:rPr>
        <w:t>七、投标文件签署授权委托书</w:t>
      </w:r>
    </w:p>
    <w:p>
      <w:pPr>
        <w:spacing w:line="360" w:lineRule="auto"/>
        <w:ind w:firstLine="420" w:firstLineChars="200"/>
        <w:rPr>
          <w:rFonts w:ascii="Times New Roman" w:hAnsi="Times New Roman"/>
          <w:szCs w:val="21"/>
        </w:rPr>
      </w:pPr>
      <w:r>
        <w:rPr>
          <w:rFonts w:ascii="Times New Roman" w:hAnsi="Times New Roman" w:hint="eastAsia"/>
          <w:szCs w:val="21"/>
        </w:rPr>
        <w:t>本授权委托书声明：我</w:t>
      </w:r>
      <w:r>
        <w:rPr>
          <w:rFonts w:ascii="Times New Roman" w:hAnsi="Times New Roman" w:hint="eastAsia"/>
          <w:szCs w:val="21"/>
          <w:u w:val="single"/>
        </w:rPr>
        <w:t xml:space="preserve">           </w:t>
      </w:r>
      <w:r>
        <w:rPr>
          <w:rFonts w:ascii="Times New Roman" w:hAnsi="Times New Roman" w:hint="eastAsia"/>
          <w:szCs w:val="21"/>
        </w:rPr>
        <w:t>（姓名）系</w:t>
      </w:r>
      <w:r>
        <w:rPr>
          <w:rFonts w:ascii="Times New Roman" w:hAnsi="Times New Roman" w:hint="eastAsia"/>
          <w:szCs w:val="21"/>
          <w:u w:val="single"/>
        </w:rPr>
        <w:t xml:space="preserve">             </w:t>
      </w:r>
      <w:r>
        <w:rPr>
          <w:rFonts w:ascii="Times New Roman" w:hAnsi="Times New Roman" w:hint="eastAsia"/>
          <w:szCs w:val="21"/>
        </w:rPr>
        <w:t>（投标供应商名称）的法定代表人</w:t>
      </w:r>
      <w:r>
        <w:rPr>
          <w:rFonts w:ascii="黑体" w:eastAsia="黑体" w:hAnsi="Times New Roman" w:hint="eastAsia"/>
          <w:b/>
          <w:kern w:val="0"/>
          <w:sz w:val="24"/>
          <w:szCs w:val="24"/>
        </w:rPr>
        <w:t>（负责人）</w:t>
      </w:r>
      <w:r>
        <w:rPr>
          <w:rFonts w:ascii="Times New Roman" w:hAnsi="Times New Roman" w:hint="eastAsia"/>
          <w:szCs w:val="21"/>
        </w:rPr>
        <w:t>，现授权委托</w:t>
      </w:r>
      <w:r>
        <w:rPr>
          <w:rFonts w:ascii="Times New Roman" w:hAnsi="Times New Roman" w:hint="eastAsia"/>
          <w:szCs w:val="21"/>
          <w:u w:val="single"/>
        </w:rPr>
        <w:t xml:space="preserve">            </w:t>
      </w:r>
      <w:r>
        <w:rPr>
          <w:rFonts w:ascii="Times New Roman" w:hAnsi="Times New Roman" w:hint="eastAsia"/>
          <w:szCs w:val="21"/>
        </w:rPr>
        <w:t>（姓名）为我公司签署本项目已递交的投标文件的法定代表人的授权委托代理人，代理人全权代表我所签署的本项目已递交的投标文件内容我均承认。</w:t>
      </w:r>
    </w:p>
    <w:p>
      <w:pPr>
        <w:spacing w:line="360" w:lineRule="auto"/>
        <w:ind w:firstLine="420"/>
        <w:rPr>
          <w:rFonts w:ascii="Times New Roman" w:hAnsi="Times New Roman"/>
          <w:szCs w:val="21"/>
        </w:rPr>
      </w:pPr>
      <w:r>
        <w:rPr>
          <w:rFonts w:ascii="Times New Roman" w:hAnsi="Times New Roman" w:hint="eastAsia"/>
          <w:szCs w:val="21"/>
        </w:rPr>
        <w:t>代理人无转委托权，特此委托。</w:t>
      </w:r>
    </w:p>
    <w:p>
      <w:pPr>
        <w:spacing w:line="360" w:lineRule="auto"/>
        <w:ind w:firstLine="420"/>
        <w:rPr>
          <w:rFonts w:ascii="Times New Roman" w:hAnsi="Times New Roman"/>
          <w:szCs w:val="21"/>
        </w:rPr>
      </w:pPr>
    </w:p>
    <w:p>
      <w:pPr>
        <w:spacing w:line="360" w:lineRule="auto"/>
        <w:ind w:left="540" w:leftChars="257"/>
        <w:rPr>
          <w:rFonts w:ascii="Times New Roman" w:hAnsi="Times New Roman"/>
          <w:szCs w:val="21"/>
          <w:u w:val="single"/>
        </w:rPr>
      </w:pPr>
      <w:r>
        <w:rPr>
          <w:rFonts w:ascii="Times New Roman" w:hAnsi="Times New Roman" w:hint="eastAsia"/>
          <w:szCs w:val="21"/>
        </w:rPr>
        <w:t>代理人：</w:t>
      </w:r>
      <w:r>
        <w:rPr>
          <w:rFonts w:ascii="Times New Roman" w:hAnsi="Times New Roman" w:hint="eastAsia"/>
          <w:szCs w:val="21"/>
          <w:u w:val="single"/>
        </w:rPr>
        <w:t xml:space="preserve">             </w:t>
      </w:r>
    </w:p>
    <w:p>
      <w:pPr>
        <w:spacing w:line="360" w:lineRule="auto"/>
        <w:ind w:left="540" w:leftChars="257"/>
        <w:rPr>
          <w:rFonts w:ascii="Times New Roman" w:hAnsi="Times New Roman"/>
          <w:szCs w:val="21"/>
        </w:rPr>
      </w:pPr>
      <w:r>
        <w:rPr>
          <w:rFonts w:ascii="Times New Roman" w:hAnsi="Times New Roman" w:hint="eastAsia"/>
          <w:szCs w:val="21"/>
        </w:rPr>
        <w:t>联系电话：</w:t>
      </w:r>
      <w:r>
        <w:rPr>
          <w:rFonts w:ascii="Times New Roman" w:hAnsi="Times New Roman" w:hint="eastAsia"/>
          <w:szCs w:val="21"/>
          <w:u w:val="single"/>
        </w:rPr>
        <w:t xml:space="preserve">            </w:t>
      </w:r>
      <w:r>
        <w:rPr>
          <w:rFonts w:ascii="Times New Roman" w:hAnsi="Times New Roman" w:hint="eastAsia"/>
          <w:szCs w:val="21"/>
        </w:rPr>
        <w:t xml:space="preserve">  手机：</w:t>
      </w:r>
      <w:r>
        <w:rPr>
          <w:rFonts w:ascii="Times New Roman" w:hAnsi="Times New Roman" w:hint="eastAsia"/>
          <w:szCs w:val="21"/>
          <w:u w:val="single"/>
        </w:rPr>
        <w:t xml:space="preserve">                   </w:t>
      </w:r>
    </w:p>
    <w:p>
      <w:pPr>
        <w:spacing w:line="360" w:lineRule="auto"/>
        <w:ind w:left="540" w:leftChars="257"/>
        <w:rPr>
          <w:rFonts w:ascii="Times New Roman" w:hAnsi="Times New Roman"/>
          <w:szCs w:val="21"/>
          <w:u w:val="single"/>
        </w:rPr>
      </w:pPr>
      <w:r>
        <w:rPr>
          <w:rFonts w:ascii="Times New Roman" w:hAnsi="Times New Roman" w:hint="eastAsia"/>
          <w:szCs w:val="21"/>
        </w:rPr>
        <w:t>身份证号码：</w:t>
      </w:r>
      <w:r>
        <w:rPr>
          <w:rFonts w:ascii="Times New Roman" w:hAnsi="Times New Roman" w:hint="eastAsia"/>
          <w:szCs w:val="21"/>
          <w:u w:val="single"/>
        </w:rPr>
        <w:t xml:space="preserve">                        </w:t>
      </w:r>
      <w:r>
        <w:rPr>
          <w:rFonts w:ascii="Times New Roman" w:hAnsi="Times New Roman" w:hint="eastAsia"/>
          <w:szCs w:val="21"/>
        </w:rPr>
        <w:t>职务：</w:t>
      </w:r>
      <w:r>
        <w:rPr>
          <w:rFonts w:ascii="Times New Roman" w:hAnsi="Times New Roman" w:hint="eastAsia"/>
          <w:szCs w:val="21"/>
          <w:u w:val="single"/>
        </w:rPr>
        <w:t xml:space="preserve">       </w:t>
      </w:r>
    </w:p>
    <w:p>
      <w:pPr>
        <w:spacing w:line="360" w:lineRule="auto"/>
        <w:ind w:left="540" w:leftChars="257"/>
        <w:rPr>
          <w:rFonts w:ascii="Times New Roman" w:hAnsi="Times New Roman"/>
          <w:szCs w:val="21"/>
        </w:rPr>
      </w:pPr>
      <w:r>
        <w:rPr>
          <w:rFonts w:ascii="Times New Roman" w:hAnsi="Times New Roman" w:hint="eastAsia"/>
          <w:szCs w:val="21"/>
        </w:rPr>
        <w:t>授权委托日期：</w:t>
      </w:r>
      <w:r>
        <w:rPr>
          <w:rFonts w:ascii="Times New Roman" w:hAnsi="Times New Roman" w:hint="eastAsia"/>
          <w:szCs w:val="21"/>
          <w:u w:val="single"/>
        </w:rPr>
        <w:t xml:space="preserve">         </w:t>
      </w:r>
      <w:r>
        <w:rPr>
          <w:rFonts w:ascii="Times New Roman" w:hAnsi="Times New Roman" w:hint="eastAsia"/>
          <w:szCs w:val="21"/>
        </w:rPr>
        <w:t>年</w:t>
      </w:r>
      <w:r>
        <w:rPr>
          <w:rFonts w:ascii="Times New Roman" w:hAnsi="Times New Roman" w:hint="eastAsia"/>
          <w:szCs w:val="21"/>
          <w:u w:val="single"/>
        </w:rPr>
        <w:t xml:space="preserve">     </w:t>
      </w:r>
      <w:r>
        <w:rPr>
          <w:rFonts w:ascii="Times New Roman" w:hAnsi="Times New Roman" w:hint="eastAsia"/>
          <w:szCs w:val="21"/>
        </w:rPr>
        <w:t xml:space="preserve">月 </w:t>
      </w:r>
      <w:r>
        <w:rPr>
          <w:rFonts w:ascii="Times New Roman" w:hAnsi="Times New Roman" w:hint="eastAsia"/>
          <w:szCs w:val="21"/>
          <w:u w:val="single"/>
        </w:rPr>
        <w:t xml:space="preserve">      </w:t>
      </w:r>
      <w:r>
        <w:rPr>
          <w:rFonts w:ascii="Times New Roman" w:hAnsi="Times New Roman" w:hint="eastAsia"/>
          <w:szCs w:val="21"/>
        </w:rPr>
        <w:t>日</w:t>
      </w:r>
    </w:p>
    <w:p>
      <w:pPr>
        <w:spacing w:line="360" w:lineRule="auto"/>
        <w:ind w:left="540" w:leftChars="257"/>
        <w:rPr>
          <w:rFonts w:ascii="Times New Roman" w:hAnsi="Times New Roman"/>
          <w:szCs w:val="21"/>
          <w:u w:val="single"/>
        </w:rPr>
      </w:pPr>
    </w:p>
    <w:p>
      <w:pPr>
        <w:spacing w:line="360" w:lineRule="auto"/>
        <w:rPr>
          <w:rFonts w:ascii="Times New Roman" w:hAnsi="Times New Roman"/>
          <w:b/>
          <w:sz w:val="24"/>
          <w:szCs w:val="24"/>
        </w:rPr>
      </w:pPr>
      <w:r>
        <w:rPr>
          <w:rFonts w:ascii="Times New Roman" w:hAnsi="Times New Roman" w:hint="eastAsia"/>
          <w:b/>
          <w:sz w:val="24"/>
          <w:szCs w:val="24"/>
        </w:rPr>
        <w:t>附：要求必须提供代理人身份证扫描件（正反两面）。</w:t>
      </w:r>
    </w:p>
    <w:p>
      <w:pPr>
        <w:rPr>
          <w:szCs w:val="21"/>
          <w:u w:val="single"/>
        </w:rPr>
      </w:pPr>
    </w:p>
    <w:p>
      <w:pPr>
        <w:rPr>
          <w:rFonts w:ascii="宋体" w:hAnsi="宋体"/>
          <w:szCs w:val="21"/>
        </w:rPr>
      </w:pPr>
      <w:r>
        <w:rPr>
          <w:rFonts w:hint="eastAsia"/>
          <w:szCs w:val="21"/>
          <w:u w:val="single"/>
        </w:rPr>
        <w:t>（备注：如联合体投标，投标供应商名称一栏仅需填写牵头人的名称）</w:t>
      </w:r>
    </w:p>
    <w:p>
      <w:pPr>
        <w:spacing w:line="360" w:lineRule="auto"/>
        <w:rPr>
          <w:rFonts w:ascii="黑体" w:eastAsia="黑体"/>
          <w:b/>
          <w:sz w:val="24"/>
        </w:rPr>
      </w:pPr>
    </w:p>
    <w:p>
      <w:pPr>
        <w:keepNext/>
        <w:keepLines/>
        <w:spacing w:before="260" w:after="260"/>
        <w:jc w:val="center"/>
        <w:outlineLvl w:val="2"/>
        <w:rPr>
          <w:rFonts w:ascii="黑体" w:eastAsia="黑体" w:hAnsi="宋体"/>
          <w:bCs/>
          <w:kern w:val="0"/>
          <w:sz w:val="24"/>
          <w:szCs w:val="24"/>
        </w:rPr>
      </w:pPr>
      <w:r>
        <w:rPr>
          <w:rFonts w:ascii="黑体" w:eastAsia="黑体" w:hAnsi="宋体" w:hint="eastAsia"/>
          <w:bCs/>
          <w:kern w:val="0"/>
          <w:sz w:val="24"/>
          <w:szCs w:val="24"/>
        </w:rPr>
        <w:t>八、实质性条款响应情况表</w:t>
      </w:r>
    </w:p>
    <w:tbl>
      <w:tblPr>
        <w:tblStyle w:val="TableNormal"/>
        <w:tblW w:w="918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705"/>
        <w:gridCol w:w="4790"/>
        <w:gridCol w:w="3685"/>
      </w:tblGrid>
      <w:tr>
        <w:tblPrEx>
          <w:tblW w:w="918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c>
          <w:tcPr>
            <w:tcW w:w="705" w:type="dxa"/>
          </w:tcPr>
          <w:p>
            <w:pPr>
              <w:adjustRightInd w:val="0"/>
              <w:snapToGrid w:val="0"/>
              <w:spacing w:line="360" w:lineRule="auto"/>
              <w:jc w:val="center"/>
              <w:rPr>
                <w:rFonts w:ascii="宋体" w:hAnsi="宋体"/>
                <w:kern w:val="0"/>
                <w:szCs w:val="21"/>
              </w:rPr>
            </w:pPr>
            <w:r>
              <w:rPr>
                <w:rFonts w:ascii="宋体" w:hAnsi="宋体" w:hint="eastAsia"/>
                <w:kern w:val="0"/>
                <w:szCs w:val="21"/>
              </w:rPr>
              <w:t>序号</w:t>
            </w:r>
          </w:p>
        </w:tc>
        <w:tc>
          <w:tcPr>
            <w:tcW w:w="4790" w:type="dxa"/>
          </w:tcPr>
          <w:p>
            <w:pPr>
              <w:adjustRightInd w:val="0"/>
              <w:snapToGrid w:val="0"/>
              <w:spacing w:line="360" w:lineRule="auto"/>
              <w:jc w:val="center"/>
              <w:rPr>
                <w:rFonts w:ascii="宋体" w:hAnsi="宋体"/>
                <w:kern w:val="0"/>
                <w:szCs w:val="21"/>
              </w:rPr>
            </w:pPr>
            <w:r>
              <w:rPr>
                <w:rFonts w:ascii="宋体" w:hAnsi="宋体" w:hint="eastAsia"/>
                <w:kern w:val="0"/>
                <w:szCs w:val="21"/>
              </w:rPr>
              <w:t>采购人要求内容</w:t>
            </w:r>
          </w:p>
        </w:tc>
        <w:tc>
          <w:tcPr>
            <w:tcW w:w="3685" w:type="dxa"/>
          </w:tcPr>
          <w:p>
            <w:pPr>
              <w:adjustRightInd w:val="0"/>
              <w:snapToGrid w:val="0"/>
              <w:spacing w:line="360" w:lineRule="auto"/>
              <w:jc w:val="center"/>
              <w:rPr>
                <w:rFonts w:ascii="宋体" w:hAnsi="宋体"/>
                <w:kern w:val="0"/>
                <w:szCs w:val="21"/>
              </w:rPr>
            </w:pPr>
            <w:r>
              <w:rPr>
                <w:rFonts w:ascii="宋体" w:hAnsi="宋体" w:hint="eastAsia"/>
                <w:kern w:val="0"/>
                <w:szCs w:val="21"/>
              </w:rPr>
              <w:t>投标人响应情况</w:t>
            </w:r>
          </w:p>
        </w:tc>
      </w:tr>
      <w:tr>
        <w:tblPrEx>
          <w:tblW w:w="9180" w:type="dxa"/>
          <w:tblInd w:w="0" w:type="dxa"/>
          <w:tblLayout w:type="fixed"/>
          <w:tblCellMar>
            <w:top w:w="0" w:type="dxa"/>
            <w:left w:w="108" w:type="dxa"/>
            <w:bottom w:w="0" w:type="dxa"/>
            <w:right w:w="108" w:type="dxa"/>
          </w:tblCellMar>
        </w:tblPrEx>
        <w:tc>
          <w:tcPr>
            <w:tcW w:w="705" w:type="dxa"/>
          </w:tcPr>
          <w:p>
            <w:pPr>
              <w:adjustRightInd w:val="0"/>
              <w:snapToGrid w:val="0"/>
              <w:spacing w:line="360" w:lineRule="auto"/>
              <w:rPr>
                <w:rFonts w:ascii="宋体" w:hAnsi="宋体"/>
                <w:kern w:val="0"/>
                <w:szCs w:val="21"/>
              </w:rPr>
            </w:pPr>
            <w:r>
              <w:rPr>
                <w:rFonts w:ascii="宋体" w:hAnsi="宋体" w:hint="eastAsia"/>
                <w:kern w:val="0"/>
                <w:szCs w:val="21"/>
              </w:rPr>
              <w:t>1</w:t>
            </w:r>
          </w:p>
        </w:tc>
        <w:tc>
          <w:tcPr>
            <w:tcW w:w="4790" w:type="dxa"/>
            <w:vAlign w:val="center"/>
          </w:tcPr>
          <w:p>
            <w:pPr>
              <w:adjustRightInd w:val="0"/>
              <w:snapToGrid w:val="0"/>
              <w:spacing w:line="360" w:lineRule="auto"/>
              <w:jc w:val="left"/>
              <w:rPr>
                <w:rFonts w:ascii="Times New Roman" w:hAnsi="宋体"/>
                <w:kern w:val="0"/>
                <w:szCs w:val="21"/>
              </w:rPr>
            </w:pPr>
            <w:r>
              <w:rPr>
                <w:rFonts w:ascii="宋体" w:eastAsia="宋体" w:hAnsi="宋体" w:cs="宋体" w:hint="eastAsia"/>
                <w:b/>
                <w:bCs/>
                <w:kern w:val="0"/>
                <w:szCs w:val="21"/>
                <w:u w:val="double"/>
              </w:rPr>
              <w:t>服务期限：本项目合同期自签订之日起至2025年12月31日止，中标单位必须于合同签订之日起提供500家持证餐饮单位及学校食堂的“互联网+明厨亮灶”视频数据运营（运维）服务；如有涉及设备更换、系统调试接入的，必须于2025年2月22日前确保至少225家坪山区学校食堂等重点餐饮服务单位正常运营（运维）服务，于2025年3月22日前确保500家餐企场所正常运营（运维）服务。</w:t>
            </w:r>
            <w:r>
              <w:rPr>
                <w:rFonts w:asciiTheme="minorEastAsia" w:eastAsiaTheme="minorEastAsia" w:hAnsiTheme="minorEastAsia" w:hint="eastAsia"/>
                <w:b/>
                <w:bCs w:val="0"/>
                <w:kern w:val="44"/>
                <w:szCs w:val="21"/>
                <w:u w:val="double"/>
              </w:rPr>
              <w:t>本项目为长期服务项目，合同履行期限最长不得超过三十六个月。服务期满后采购人可根据项目需求和中标人履约情况选择是否续签合同，最多续签两次，合同一年一签。</w:t>
            </w:r>
          </w:p>
        </w:tc>
        <w:tc>
          <w:tcPr>
            <w:tcW w:w="3685" w:type="dxa"/>
          </w:tcPr>
          <w:p>
            <w:pPr>
              <w:adjustRightInd w:val="0"/>
              <w:snapToGrid w:val="0"/>
              <w:spacing w:line="360" w:lineRule="auto"/>
              <w:rPr>
                <w:rFonts w:ascii="宋体" w:hAnsi="宋体"/>
                <w:kern w:val="0"/>
                <w:szCs w:val="21"/>
              </w:rPr>
            </w:pPr>
          </w:p>
        </w:tc>
      </w:tr>
      <w:tr>
        <w:tblPrEx>
          <w:tblW w:w="9180" w:type="dxa"/>
          <w:tblInd w:w="0" w:type="dxa"/>
          <w:tblLayout w:type="fixed"/>
          <w:tblCellMar>
            <w:top w:w="0" w:type="dxa"/>
            <w:left w:w="108" w:type="dxa"/>
            <w:bottom w:w="0" w:type="dxa"/>
            <w:right w:w="108" w:type="dxa"/>
          </w:tblCellMar>
        </w:tblPrEx>
        <w:tc>
          <w:tcPr>
            <w:tcW w:w="705" w:type="dxa"/>
          </w:tcPr>
          <w:p>
            <w:pPr>
              <w:adjustRightInd w:val="0"/>
              <w:snapToGrid w:val="0"/>
              <w:spacing w:line="360" w:lineRule="auto"/>
              <w:rPr>
                <w:rFonts w:ascii="宋体" w:hAnsi="宋体"/>
                <w:kern w:val="0"/>
                <w:szCs w:val="21"/>
              </w:rPr>
            </w:pPr>
            <w:r>
              <w:rPr>
                <w:rFonts w:ascii="宋体" w:hAnsi="宋体" w:hint="eastAsia"/>
                <w:kern w:val="0"/>
                <w:szCs w:val="21"/>
              </w:rPr>
              <w:t>2</w:t>
            </w:r>
          </w:p>
        </w:tc>
        <w:tc>
          <w:tcPr>
            <w:tcW w:w="4790" w:type="dxa"/>
            <w:vAlign w:val="center"/>
          </w:tcPr>
          <w:p>
            <w:pPr>
              <w:adjustRightInd w:val="0"/>
              <w:snapToGrid w:val="0"/>
              <w:spacing w:line="360" w:lineRule="auto"/>
              <w:jc w:val="left"/>
              <w:rPr>
                <w:rFonts w:ascii="Times New Roman" w:hAnsi="宋体"/>
                <w:kern w:val="0"/>
                <w:szCs w:val="21"/>
              </w:rPr>
            </w:pPr>
            <w:r>
              <w:rPr>
                <w:rFonts w:ascii="宋体" w:hAnsi="宋体" w:cs="宋体" w:hint="eastAsia"/>
                <w:b w:val="0"/>
                <w:bCs w:val="0"/>
                <w:szCs w:val="21"/>
                <w:lang w:eastAsia="zh-CN"/>
              </w:rPr>
              <w:t>投标供应商须提供法定代表人（单位负责人）和项目投标授权代表人在开标日前近一个月载有社保部门或税务部门公章的个人社保缴纳查询记录（不限定缴纳单位）；因社保部门或税务部门原因近一个月的社保证明暂时无法提供的，可往前顺延一个月；无社保缴纳记录或无法提供社保证明的需提供情况说明并承诺与其他投标供应商之间不存在法定代表人（单位负责人）、项目投标授权代表人为同一人、属同一单位或者在同一单位缴纳社保的情况（格式自拟）。未按要求提供相关材料或投标供应商之间存在法定代表人（单位负责人）、项目投标授权代表人为同一人、属同一单位或者在同一单位缴纳社保的，按投标无效处理。</w:t>
            </w:r>
          </w:p>
        </w:tc>
        <w:tc>
          <w:tcPr>
            <w:tcW w:w="3685" w:type="dxa"/>
          </w:tcPr>
          <w:p>
            <w:pPr>
              <w:adjustRightInd w:val="0"/>
              <w:snapToGrid w:val="0"/>
              <w:spacing w:line="360" w:lineRule="auto"/>
              <w:rPr>
                <w:rFonts w:ascii="宋体" w:hAnsi="宋体"/>
                <w:kern w:val="0"/>
                <w:szCs w:val="21"/>
              </w:rPr>
            </w:pPr>
          </w:p>
        </w:tc>
      </w:tr>
    </w:tbl>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注：1.“</w:t>
      </w:r>
      <w:r>
        <w:rPr>
          <w:rFonts w:ascii="宋体" w:hAnsi="宋体" w:hint="eastAsia"/>
          <w:kern w:val="0"/>
          <w:szCs w:val="21"/>
        </w:rPr>
        <w:t>采购人要求内容</w:t>
      </w:r>
      <w:r>
        <w:rPr>
          <w:rFonts w:asciiTheme="minorEastAsia" w:eastAsiaTheme="minorEastAsia" w:hAnsiTheme="minorEastAsia" w:hint="eastAsia"/>
          <w:bCs/>
          <w:kern w:val="0"/>
          <w:szCs w:val="21"/>
        </w:rPr>
        <w:t>”为</w:t>
      </w:r>
      <w:r>
        <w:rPr>
          <w:rFonts w:asciiTheme="minorEastAsia" w:eastAsiaTheme="minorEastAsia" w:hAnsiTheme="minorEastAsia" w:hint="eastAsia"/>
          <w:b/>
          <w:bCs/>
          <w:kern w:val="0"/>
          <w:szCs w:val="21"/>
          <w:highlight w:val="yellow"/>
        </w:rPr>
        <w:t>“第一册  专用条款/第二章  招标项目需求”</w:t>
      </w:r>
      <w:r>
        <w:rPr>
          <w:rFonts w:asciiTheme="minorEastAsia" w:eastAsiaTheme="minorEastAsia" w:hAnsiTheme="minorEastAsia" w:hint="eastAsia"/>
          <w:bCs/>
          <w:kern w:val="0"/>
          <w:szCs w:val="21"/>
        </w:rPr>
        <w:t>中的不可负偏离的实质性条款，即“实质性条款”。</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2.“投标人响应情况”一栏应如实填写“响应”或“不响应”。</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3.“实质性条款响应情况表”与投标文件其它内容冲突的，以“实质性条款响应情况表”为准。</w:t>
      </w:r>
    </w:p>
    <w:p>
      <w:pPr>
        <w:keepNext/>
        <w:keepLines/>
        <w:tabs>
          <w:tab w:val="left" w:pos="765"/>
        </w:tabs>
        <w:spacing w:line="376" w:lineRule="auto"/>
        <w:outlineLvl w:val="3"/>
        <w:rPr>
          <w:rFonts w:asciiTheme="minorEastAsia" w:eastAsiaTheme="minorEastAsia" w:hAnsiTheme="minorEastAsia"/>
          <w:bCs/>
          <w:kern w:val="0"/>
          <w:szCs w:val="21"/>
          <w:highlight w:val="yellow"/>
        </w:rPr>
      </w:pPr>
      <w:r>
        <w:rPr>
          <w:rFonts w:asciiTheme="minorEastAsia" w:eastAsiaTheme="minorEastAsia" w:hAnsiTheme="minorEastAsia" w:hint="eastAsia"/>
          <w:bCs/>
          <w:kern w:val="0"/>
          <w:szCs w:val="21"/>
          <w:highlight w:val="yellow"/>
        </w:rPr>
        <w:t>4.“</w:t>
      </w:r>
      <w:r>
        <w:rPr>
          <w:rFonts w:ascii="宋体" w:hAnsi="宋体" w:hint="eastAsia"/>
          <w:kern w:val="0"/>
          <w:szCs w:val="21"/>
          <w:highlight w:val="yellow"/>
        </w:rPr>
        <w:t>采购人要求内容</w:t>
      </w:r>
      <w:r>
        <w:rPr>
          <w:rFonts w:asciiTheme="minorEastAsia" w:eastAsiaTheme="minorEastAsia" w:hAnsiTheme="minorEastAsia" w:hint="eastAsia"/>
          <w:bCs/>
          <w:kern w:val="0"/>
          <w:szCs w:val="21"/>
          <w:highlight w:val="yellow"/>
        </w:rPr>
        <w:t>”中涉及提供证明材料的，应附在本表后，未提供证明材料或证明材料与响应情况不相符的，按负偏离处理。</w:t>
      </w:r>
    </w:p>
    <w:p>
      <w:pPr>
        <w:keepNext/>
        <w:keepLines/>
        <w:spacing w:before="260" w:after="260"/>
        <w:jc w:val="center"/>
        <w:outlineLvl w:val="2"/>
        <w:rPr>
          <w:rFonts w:ascii="黑体" w:eastAsia="黑体" w:hAnsi="宋体"/>
          <w:bCs/>
          <w:kern w:val="0"/>
          <w:sz w:val="24"/>
          <w:szCs w:val="24"/>
        </w:rPr>
      </w:pPr>
      <w:r>
        <w:rPr>
          <w:rFonts w:ascii="黑体" w:eastAsia="黑体" w:hAnsi="宋体" w:hint="eastAsia"/>
          <w:bCs/>
          <w:kern w:val="0"/>
          <w:sz w:val="24"/>
          <w:szCs w:val="24"/>
        </w:rPr>
        <w:t>九、详细分项报价清单</w:t>
      </w:r>
    </w:p>
    <w:tbl>
      <w:tblPr>
        <w:tblStyle w:val="TableNormal"/>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828"/>
        <w:gridCol w:w="2485"/>
        <w:gridCol w:w="876"/>
        <w:gridCol w:w="909"/>
        <w:gridCol w:w="1643"/>
        <w:gridCol w:w="1701"/>
        <w:gridCol w:w="1125"/>
      </w:tblGrid>
      <w:tr>
        <w:tblPrEx>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0" w:type="dxa"/>
            <w:left w:w="108" w:type="dxa"/>
            <w:bottom w:w="0" w:type="dxa"/>
            <w:right w:w="108" w:type="dxa"/>
          </w:tblCellMar>
        </w:tblPrEx>
        <w:trPr>
          <w:cantSplit/>
          <w:trHeight w:val="480"/>
          <w:jc w:val="center"/>
        </w:trPr>
        <w:tc>
          <w:tcPr>
            <w:tcW w:w="828" w:type="dxa"/>
            <w:vAlign w:val="center"/>
          </w:tcPr>
          <w:p>
            <w:pPr>
              <w:adjustRightInd w:val="0"/>
              <w:snapToGrid w:val="0"/>
              <w:spacing w:line="300" w:lineRule="auto"/>
              <w:jc w:val="center"/>
              <w:rPr>
                <w:rFonts w:ascii="Times New Roman" w:hAnsi="Times New Roman"/>
                <w:b/>
                <w:snapToGrid w:val="0"/>
                <w:kern w:val="0"/>
                <w:szCs w:val="24"/>
              </w:rPr>
            </w:pPr>
            <w:r>
              <w:rPr>
                <w:rFonts w:ascii="Times New Roman" w:hAnsi="Times New Roman" w:hint="eastAsia"/>
                <w:b/>
                <w:snapToGrid w:val="0"/>
                <w:kern w:val="0"/>
                <w:szCs w:val="24"/>
              </w:rPr>
              <w:t>序号</w:t>
            </w:r>
          </w:p>
        </w:tc>
        <w:tc>
          <w:tcPr>
            <w:tcW w:w="2485" w:type="dxa"/>
            <w:vAlign w:val="center"/>
          </w:tcPr>
          <w:p>
            <w:pPr>
              <w:adjustRightInd w:val="0"/>
              <w:snapToGrid w:val="0"/>
              <w:spacing w:line="300" w:lineRule="auto"/>
              <w:jc w:val="center"/>
              <w:rPr>
                <w:rFonts w:ascii="Times New Roman" w:hAnsi="Times New Roman"/>
                <w:b/>
                <w:snapToGrid w:val="0"/>
                <w:kern w:val="0"/>
                <w:szCs w:val="24"/>
              </w:rPr>
            </w:pPr>
            <w:r>
              <w:rPr>
                <w:rFonts w:ascii="Times New Roman" w:hAnsi="Times New Roman" w:hint="eastAsia"/>
                <w:b/>
                <w:snapToGrid w:val="0"/>
                <w:kern w:val="0"/>
                <w:szCs w:val="24"/>
              </w:rPr>
              <w:t>项目内容</w:t>
            </w:r>
          </w:p>
        </w:tc>
        <w:tc>
          <w:tcPr>
            <w:tcW w:w="876" w:type="dxa"/>
            <w:vAlign w:val="center"/>
          </w:tcPr>
          <w:p>
            <w:pPr>
              <w:adjustRightInd w:val="0"/>
              <w:snapToGrid w:val="0"/>
              <w:spacing w:line="300" w:lineRule="auto"/>
              <w:jc w:val="center"/>
              <w:rPr>
                <w:rFonts w:ascii="Times New Roman" w:hAnsi="Times New Roman"/>
                <w:b/>
                <w:snapToGrid w:val="0"/>
                <w:kern w:val="0"/>
                <w:szCs w:val="24"/>
              </w:rPr>
            </w:pPr>
            <w:r>
              <w:rPr>
                <w:rFonts w:ascii="Times New Roman" w:hAnsi="Times New Roman" w:hint="eastAsia"/>
                <w:b/>
                <w:snapToGrid w:val="0"/>
                <w:kern w:val="0"/>
                <w:szCs w:val="24"/>
              </w:rPr>
              <w:t>数量</w:t>
            </w:r>
          </w:p>
        </w:tc>
        <w:tc>
          <w:tcPr>
            <w:tcW w:w="909" w:type="dxa"/>
            <w:vAlign w:val="center"/>
          </w:tcPr>
          <w:p>
            <w:pPr>
              <w:adjustRightInd w:val="0"/>
              <w:snapToGrid w:val="0"/>
              <w:spacing w:line="300" w:lineRule="auto"/>
              <w:jc w:val="center"/>
              <w:rPr>
                <w:rFonts w:ascii="Times New Roman" w:hAnsi="Times New Roman"/>
                <w:b/>
                <w:snapToGrid w:val="0"/>
                <w:kern w:val="0"/>
                <w:szCs w:val="24"/>
              </w:rPr>
            </w:pPr>
            <w:r>
              <w:rPr>
                <w:rFonts w:ascii="Times New Roman" w:hAnsi="Times New Roman" w:hint="eastAsia"/>
                <w:b/>
                <w:snapToGrid w:val="0"/>
                <w:kern w:val="0"/>
                <w:szCs w:val="24"/>
              </w:rPr>
              <w:t>单位</w:t>
            </w:r>
          </w:p>
        </w:tc>
        <w:tc>
          <w:tcPr>
            <w:tcW w:w="1643" w:type="dxa"/>
            <w:vAlign w:val="center"/>
          </w:tcPr>
          <w:p>
            <w:pPr>
              <w:adjustRightInd w:val="0"/>
              <w:snapToGrid w:val="0"/>
              <w:spacing w:line="300" w:lineRule="auto"/>
              <w:jc w:val="center"/>
              <w:rPr>
                <w:rFonts w:ascii="Times New Roman" w:hAnsi="Times New Roman"/>
                <w:b/>
                <w:snapToGrid w:val="0"/>
                <w:kern w:val="0"/>
                <w:szCs w:val="24"/>
              </w:rPr>
            </w:pPr>
            <w:r>
              <w:rPr>
                <w:rFonts w:ascii="Times New Roman" w:hAnsi="Times New Roman" w:hint="eastAsia"/>
                <w:b/>
                <w:snapToGrid w:val="0"/>
                <w:kern w:val="0"/>
                <w:szCs w:val="24"/>
              </w:rPr>
              <w:t>单价（单位：元）</w:t>
            </w:r>
          </w:p>
        </w:tc>
        <w:tc>
          <w:tcPr>
            <w:tcW w:w="1701" w:type="dxa"/>
            <w:vAlign w:val="center"/>
          </w:tcPr>
          <w:p>
            <w:pPr>
              <w:adjustRightInd w:val="0"/>
              <w:snapToGrid w:val="0"/>
              <w:spacing w:line="300" w:lineRule="auto"/>
              <w:jc w:val="center"/>
              <w:rPr>
                <w:rFonts w:ascii="Times New Roman" w:hAnsi="Times New Roman"/>
                <w:b/>
                <w:snapToGrid w:val="0"/>
                <w:kern w:val="0"/>
                <w:szCs w:val="24"/>
              </w:rPr>
            </w:pPr>
            <w:r>
              <w:rPr>
                <w:rFonts w:ascii="Times New Roman" w:hAnsi="Times New Roman" w:hint="eastAsia"/>
                <w:b/>
                <w:snapToGrid w:val="0"/>
                <w:kern w:val="0"/>
                <w:szCs w:val="24"/>
              </w:rPr>
              <w:t>总价（单位：元）</w:t>
            </w:r>
          </w:p>
        </w:tc>
        <w:tc>
          <w:tcPr>
            <w:tcW w:w="1125" w:type="dxa"/>
            <w:vAlign w:val="center"/>
          </w:tcPr>
          <w:p>
            <w:pPr>
              <w:adjustRightInd w:val="0"/>
              <w:snapToGrid w:val="0"/>
              <w:spacing w:line="300" w:lineRule="auto"/>
              <w:jc w:val="center"/>
              <w:rPr>
                <w:rFonts w:ascii="Times New Roman" w:hAnsi="Times New Roman"/>
                <w:b/>
                <w:snapToGrid w:val="0"/>
                <w:kern w:val="0"/>
                <w:szCs w:val="24"/>
              </w:rPr>
            </w:pPr>
            <w:r>
              <w:rPr>
                <w:rFonts w:ascii="Times New Roman" w:hAnsi="Times New Roman" w:hint="eastAsia"/>
                <w:b/>
                <w:snapToGrid w:val="0"/>
                <w:kern w:val="0"/>
                <w:szCs w:val="24"/>
              </w:rPr>
              <w:t>备注</w:t>
            </w:r>
          </w:p>
        </w:tc>
      </w:tr>
      <w:tr>
        <w:tblPrEx>
          <w:tblW w:w="0" w:type="auto"/>
          <w:jc w:val="center"/>
          <w:tblLayout w:type="fixed"/>
          <w:tblCellMar>
            <w:top w:w="0" w:type="dxa"/>
            <w:left w:w="108" w:type="dxa"/>
            <w:bottom w:w="0" w:type="dxa"/>
            <w:right w:w="108" w:type="dxa"/>
          </w:tblCellMar>
        </w:tblPrEx>
        <w:trPr>
          <w:cantSplit/>
          <w:trHeight w:val="427"/>
          <w:jc w:val="center"/>
        </w:trPr>
        <w:tc>
          <w:tcPr>
            <w:tcW w:w="828" w:type="dxa"/>
            <w:vAlign w:val="center"/>
          </w:tcPr>
          <w:p>
            <w:pPr>
              <w:adjustRightInd w:val="0"/>
              <w:snapToGrid w:val="0"/>
              <w:spacing w:line="300" w:lineRule="auto"/>
              <w:jc w:val="center"/>
              <w:rPr>
                <w:rFonts w:asciiTheme="minorEastAsia" w:eastAsiaTheme="minorEastAsia" w:hAnsiTheme="minorEastAsia"/>
                <w:snapToGrid w:val="0"/>
                <w:kern w:val="0"/>
                <w:szCs w:val="24"/>
              </w:rPr>
            </w:pPr>
            <w:r>
              <w:rPr>
                <w:rFonts w:asciiTheme="minorEastAsia" w:eastAsiaTheme="minorEastAsia" w:hAnsiTheme="minorEastAsia"/>
                <w:snapToGrid w:val="0"/>
                <w:kern w:val="0"/>
                <w:szCs w:val="24"/>
              </w:rPr>
              <w:t>1</w:t>
            </w:r>
          </w:p>
        </w:tc>
        <w:tc>
          <w:tcPr>
            <w:tcW w:w="2485" w:type="dxa"/>
            <w:vAlign w:val="center"/>
          </w:tcPr>
          <w:p>
            <w:pPr>
              <w:adjustRightInd w:val="0"/>
              <w:snapToGrid w:val="0"/>
              <w:spacing w:line="300" w:lineRule="auto"/>
              <w:jc w:val="center"/>
              <w:rPr>
                <w:rFonts w:ascii="宋体" w:hAnsi="宋体"/>
                <w:szCs w:val="21"/>
                <w:lang w:val="zh-CN"/>
              </w:rPr>
            </w:pPr>
          </w:p>
        </w:tc>
        <w:tc>
          <w:tcPr>
            <w:tcW w:w="876" w:type="dxa"/>
            <w:vAlign w:val="center"/>
          </w:tcPr>
          <w:p>
            <w:pPr>
              <w:adjustRightInd w:val="0"/>
              <w:snapToGrid w:val="0"/>
              <w:spacing w:line="300" w:lineRule="auto"/>
              <w:jc w:val="center"/>
              <w:rPr>
                <w:rFonts w:ascii="Times New Roman" w:hAnsi="Times New Roman"/>
                <w:snapToGrid w:val="0"/>
                <w:kern w:val="0"/>
                <w:szCs w:val="24"/>
              </w:rPr>
            </w:pPr>
          </w:p>
        </w:tc>
        <w:tc>
          <w:tcPr>
            <w:tcW w:w="909" w:type="dxa"/>
            <w:vAlign w:val="center"/>
          </w:tcPr>
          <w:p>
            <w:pPr>
              <w:adjustRightInd w:val="0"/>
              <w:snapToGrid w:val="0"/>
              <w:spacing w:line="300" w:lineRule="auto"/>
              <w:jc w:val="center"/>
              <w:rPr>
                <w:rFonts w:ascii="Times New Roman" w:hAnsi="Times New Roman"/>
                <w:snapToGrid w:val="0"/>
                <w:kern w:val="0"/>
                <w:szCs w:val="24"/>
              </w:rPr>
            </w:pPr>
          </w:p>
        </w:tc>
        <w:tc>
          <w:tcPr>
            <w:tcW w:w="1643" w:type="dxa"/>
            <w:vAlign w:val="center"/>
          </w:tcPr>
          <w:p>
            <w:pPr>
              <w:adjustRightInd w:val="0"/>
              <w:snapToGrid w:val="0"/>
              <w:spacing w:line="300" w:lineRule="auto"/>
              <w:jc w:val="center"/>
              <w:rPr>
                <w:rFonts w:ascii="Times New Roman" w:hAnsi="Times New Roman"/>
                <w:snapToGrid w:val="0"/>
                <w:kern w:val="0"/>
                <w:szCs w:val="24"/>
              </w:rPr>
            </w:pPr>
          </w:p>
        </w:tc>
        <w:tc>
          <w:tcPr>
            <w:tcW w:w="1701" w:type="dxa"/>
            <w:vAlign w:val="center"/>
          </w:tcPr>
          <w:p>
            <w:pPr>
              <w:adjustRightInd w:val="0"/>
              <w:snapToGrid w:val="0"/>
              <w:spacing w:line="300" w:lineRule="auto"/>
              <w:jc w:val="center"/>
              <w:rPr>
                <w:rFonts w:ascii="Times New Roman" w:hAnsi="Times New Roman"/>
                <w:snapToGrid w:val="0"/>
                <w:kern w:val="0"/>
                <w:szCs w:val="24"/>
              </w:rPr>
            </w:pPr>
          </w:p>
        </w:tc>
        <w:tc>
          <w:tcPr>
            <w:tcW w:w="1125" w:type="dxa"/>
            <w:vAlign w:val="center"/>
          </w:tcPr>
          <w:p>
            <w:pPr>
              <w:adjustRightInd w:val="0"/>
              <w:snapToGrid w:val="0"/>
              <w:spacing w:line="300" w:lineRule="auto"/>
              <w:jc w:val="center"/>
              <w:rPr>
                <w:rFonts w:ascii="Times New Roman" w:hAnsi="Times New Roman"/>
                <w:snapToGrid w:val="0"/>
                <w:kern w:val="0"/>
                <w:szCs w:val="24"/>
              </w:rPr>
            </w:pPr>
          </w:p>
        </w:tc>
      </w:tr>
      <w:tr>
        <w:tblPrEx>
          <w:tblW w:w="0" w:type="auto"/>
          <w:jc w:val="center"/>
          <w:tblLayout w:type="fixed"/>
          <w:tblCellMar>
            <w:top w:w="0" w:type="dxa"/>
            <w:left w:w="108" w:type="dxa"/>
            <w:bottom w:w="0" w:type="dxa"/>
            <w:right w:w="108" w:type="dxa"/>
          </w:tblCellMar>
        </w:tblPrEx>
        <w:trPr>
          <w:cantSplit/>
          <w:trHeight w:val="427"/>
          <w:jc w:val="center"/>
        </w:trPr>
        <w:tc>
          <w:tcPr>
            <w:tcW w:w="828" w:type="dxa"/>
            <w:vAlign w:val="center"/>
          </w:tcPr>
          <w:p>
            <w:pPr>
              <w:adjustRightInd w:val="0"/>
              <w:snapToGrid w:val="0"/>
              <w:spacing w:line="300" w:lineRule="auto"/>
              <w:jc w:val="center"/>
              <w:rPr>
                <w:rFonts w:asciiTheme="minorEastAsia" w:eastAsiaTheme="minorEastAsia" w:hAnsiTheme="minorEastAsia"/>
                <w:snapToGrid w:val="0"/>
                <w:kern w:val="0"/>
                <w:szCs w:val="24"/>
              </w:rPr>
            </w:pPr>
            <w:r>
              <w:rPr>
                <w:rFonts w:asciiTheme="minorEastAsia" w:eastAsiaTheme="minorEastAsia" w:hAnsiTheme="minorEastAsia"/>
                <w:snapToGrid w:val="0"/>
                <w:kern w:val="0"/>
                <w:szCs w:val="24"/>
              </w:rPr>
              <w:t>2</w:t>
            </w:r>
          </w:p>
        </w:tc>
        <w:tc>
          <w:tcPr>
            <w:tcW w:w="2485" w:type="dxa"/>
            <w:vAlign w:val="center"/>
          </w:tcPr>
          <w:p>
            <w:pPr>
              <w:adjustRightInd w:val="0"/>
              <w:snapToGrid w:val="0"/>
              <w:spacing w:line="300" w:lineRule="auto"/>
              <w:jc w:val="center"/>
              <w:rPr>
                <w:rFonts w:ascii="宋体" w:hAnsi="宋体"/>
                <w:szCs w:val="21"/>
                <w:lang w:val="zh-CN"/>
              </w:rPr>
            </w:pPr>
          </w:p>
        </w:tc>
        <w:tc>
          <w:tcPr>
            <w:tcW w:w="876" w:type="dxa"/>
            <w:vAlign w:val="center"/>
          </w:tcPr>
          <w:p>
            <w:pPr>
              <w:adjustRightInd w:val="0"/>
              <w:snapToGrid w:val="0"/>
              <w:spacing w:line="300" w:lineRule="auto"/>
              <w:jc w:val="center"/>
              <w:rPr>
                <w:rFonts w:ascii="Times New Roman" w:hAnsi="Times New Roman"/>
                <w:snapToGrid w:val="0"/>
                <w:kern w:val="0"/>
                <w:szCs w:val="24"/>
              </w:rPr>
            </w:pPr>
          </w:p>
        </w:tc>
        <w:tc>
          <w:tcPr>
            <w:tcW w:w="909" w:type="dxa"/>
            <w:vAlign w:val="center"/>
          </w:tcPr>
          <w:p>
            <w:pPr>
              <w:adjustRightInd w:val="0"/>
              <w:snapToGrid w:val="0"/>
              <w:spacing w:line="300" w:lineRule="auto"/>
              <w:jc w:val="center"/>
              <w:rPr>
                <w:rFonts w:ascii="Times New Roman" w:hAnsi="Times New Roman"/>
                <w:snapToGrid w:val="0"/>
                <w:kern w:val="0"/>
                <w:szCs w:val="24"/>
              </w:rPr>
            </w:pPr>
          </w:p>
        </w:tc>
        <w:tc>
          <w:tcPr>
            <w:tcW w:w="1643" w:type="dxa"/>
            <w:vAlign w:val="center"/>
          </w:tcPr>
          <w:p>
            <w:pPr>
              <w:adjustRightInd w:val="0"/>
              <w:snapToGrid w:val="0"/>
              <w:spacing w:line="300" w:lineRule="auto"/>
              <w:jc w:val="center"/>
              <w:rPr>
                <w:rFonts w:ascii="Times New Roman" w:hAnsi="Times New Roman"/>
                <w:snapToGrid w:val="0"/>
                <w:kern w:val="0"/>
                <w:szCs w:val="24"/>
              </w:rPr>
            </w:pPr>
          </w:p>
        </w:tc>
        <w:tc>
          <w:tcPr>
            <w:tcW w:w="1701" w:type="dxa"/>
            <w:vAlign w:val="center"/>
          </w:tcPr>
          <w:p>
            <w:pPr>
              <w:adjustRightInd w:val="0"/>
              <w:snapToGrid w:val="0"/>
              <w:spacing w:line="300" w:lineRule="auto"/>
              <w:jc w:val="center"/>
              <w:rPr>
                <w:rFonts w:ascii="Times New Roman" w:hAnsi="Times New Roman"/>
                <w:snapToGrid w:val="0"/>
                <w:kern w:val="0"/>
                <w:szCs w:val="24"/>
              </w:rPr>
            </w:pPr>
          </w:p>
        </w:tc>
        <w:tc>
          <w:tcPr>
            <w:tcW w:w="1125" w:type="dxa"/>
            <w:vAlign w:val="center"/>
          </w:tcPr>
          <w:p>
            <w:pPr>
              <w:adjustRightInd w:val="0"/>
              <w:snapToGrid w:val="0"/>
              <w:spacing w:line="300" w:lineRule="auto"/>
              <w:jc w:val="center"/>
              <w:rPr>
                <w:rFonts w:ascii="Times New Roman" w:hAnsi="Times New Roman"/>
                <w:snapToGrid w:val="0"/>
                <w:kern w:val="0"/>
                <w:szCs w:val="24"/>
              </w:rPr>
            </w:pPr>
          </w:p>
        </w:tc>
      </w:tr>
      <w:tr>
        <w:tblPrEx>
          <w:tblW w:w="0" w:type="auto"/>
          <w:jc w:val="center"/>
          <w:tblLayout w:type="fixed"/>
          <w:tblCellMar>
            <w:top w:w="0" w:type="dxa"/>
            <w:left w:w="108" w:type="dxa"/>
            <w:bottom w:w="0" w:type="dxa"/>
            <w:right w:w="108" w:type="dxa"/>
          </w:tblCellMar>
        </w:tblPrEx>
        <w:trPr>
          <w:cantSplit/>
          <w:trHeight w:val="427"/>
          <w:jc w:val="center"/>
        </w:trPr>
        <w:tc>
          <w:tcPr>
            <w:tcW w:w="828" w:type="dxa"/>
            <w:vAlign w:val="center"/>
          </w:tcPr>
          <w:p>
            <w:pPr>
              <w:adjustRightInd w:val="0"/>
              <w:snapToGrid w:val="0"/>
              <w:spacing w:line="300" w:lineRule="auto"/>
              <w:jc w:val="center"/>
              <w:rPr>
                <w:rFonts w:asciiTheme="minorEastAsia" w:eastAsiaTheme="minorEastAsia" w:hAnsiTheme="minorEastAsia"/>
                <w:snapToGrid w:val="0"/>
                <w:kern w:val="0"/>
                <w:szCs w:val="24"/>
              </w:rPr>
            </w:pPr>
            <w:r>
              <w:rPr>
                <w:rFonts w:asciiTheme="minorEastAsia" w:eastAsiaTheme="minorEastAsia" w:hAnsiTheme="minorEastAsia"/>
                <w:snapToGrid w:val="0"/>
                <w:kern w:val="0"/>
                <w:szCs w:val="24"/>
              </w:rPr>
              <w:t xml:space="preserve">3 </w:t>
            </w:r>
          </w:p>
        </w:tc>
        <w:tc>
          <w:tcPr>
            <w:tcW w:w="2485" w:type="dxa"/>
            <w:vAlign w:val="center"/>
          </w:tcPr>
          <w:p>
            <w:pPr>
              <w:adjustRightInd w:val="0"/>
              <w:snapToGrid w:val="0"/>
              <w:spacing w:line="300" w:lineRule="auto"/>
              <w:jc w:val="center"/>
              <w:rPr>
                <w:rFonts w:ascii="宋体" w:hAnsi="宋体"/>
                <w:szCs w:val="21"/>
                <w:lang w:val="zh-CN"/>
              </w:rPr>
            </w:pPr>
          </w:p>
        </w:tc>
        <w:tc>
          <w:tcPr>
            <w:tcW w:w="876" w:type="dxa"/>
            <w:vAlign w:val="center"/>
          </w:tcPr>
          <w:p>
            <w:pPr>
              <w:adjustRightInd w:val="0"/>
              <w:snapToGrid w:val="0"/>
              <w:spacing w:line="300" w:lineRule="auto"/>
              <w:jc w:val="center"/>
              <w:rPr>
                <w:rFonts w:ascii="Times New Roman" w:hAnsi="Times New Roman"/>
                <w:snapToGrid w:val="0"/>
                <w:kern w:val="0"/>
                <w:szCs w:val="24"/>
              </w:rPr>
            </w:pPr>
          </w:p>
        </w:tc>
        <w:tc>
          <w:tcPr>
            <w:tcW w:w="909" w:type="dxa"/>
            <w:vAlign w:val="center"/>
          </w:tcPr>
          <w:p>
            <w:pPr>
              <w:adjustRightInd w:val="0"/>
              <w:snapToGrid w:val="0"/>
              <w:spacing w:line="300" w:lineRule="auto"/>
              <w:jc w:val="center"/>
              <w:rPr>
                <w:rFonts w:ascii="Times New Roman" w:hAnsi="Times New Roman"/>
                <w:snapToGrid w:val="0"/>
                <w:kern w:val="0"/>
                <w:szCs w:val="24"/>
              </w:rPr>
            </w:pPr>
          </w:p>
        </w:tc>
        <w:tc>
          <w:tcPr>
            <w:tcW w:w="1643" w:type="dxa"/>
            <w:vAlign w:val="center"/>
          </w:tcPr>
          <w:p>
            <w:pPr>
              <w:adjustRightInd w:val="0"/>
              <w:snapToGrid w:val="0"/>
              <w:spacing w:line="300" w:lineRule="auto"/>
              <w:jc w:val="center"/>
              <w:rPr>
                <w:rFonts w:ascii="Times New Roman" w:hAnsi="Times New Roman"/>
                <w:snapToGrid w:val="0"/>
                <w:kern w:val="0"/>
                <w:szCs w:val="24"/>
              </w:rPr>
            </w:pPr>
          </w:p>
        </w:tc>
        <w:tc>
          <w:tcPr>
            <w:tcW w:w="1701" w:type="dxa"/>
            <w:vAlign w:val="center"/>
          </w:tcPr>
          <w:p>
            <w:pPr>
              <w:adjustRightInd w:val="0"/>
              <w:snapToGrid w:val="0"/>
              <w:spacing w:line="300" w:lineRule="auto"/>
              <w:jc w:val="center"/>
              <w:rPr>
                <w:rFonts w:ascii="Times New Roman" w:hAnsi="Times New Roman"/>
                <w:snapToGrid w:val="0"/>
                <w:kern w:val="0"/>
                <w:szCs w:val="24"/>
              </w:rPr>
            </w:pPr>
          </w:p>
        </w:tc>
        <w:tc>
          <w:tcPr>
            <w:tcW w:w="1125" w:type="dxa"/>
            <w:vAlign w:val="center"/>
          </w:tcPr>
          <w:p>
            <w:pPr>
              <w:adjustRightInd w:val="0"/>
              <w:snapToGrid w:val="0"/>
              <w:spacing w:line="300" w:lineRule="auto"/>
              <w:jc w:val="center"/>
              <w:rPr>
                <w:rFonts w:ascii="Times New Roman" w:hAnsi="Times New Roman"/>
                <w:snapToGrid w:val="0"/>
                <w:kern w:val="0"/>
                <w:szCs w:val="24"/>
              </w:rPr>
            </w:pPr>
          </w:p>
        </w:tc>
      </w:tr>
      <w:tr>
        <w:tblPrEx>
          <w:tblW w:w="0" w:type="auto"/>
          <w:jc w:val="center"/>
          <w:tblLayout w:type="fixed"/>
          <w:tblCellMar>
            <w:top w:w="0" w:type="dxa"/>
            <w:left w:w="108" w:type="dxa"/>
            <w:bottom w:w="0" w:type="dxa"/>
            <w:right w:w="108" w:type="dxa"/>
          </w:tblCellMar>
        </w:tblPrEx>
        <w:trPr>
          <w:cantSplit/>
          <w:trHeight w:val="427"/>
          <w:jc w:val="center"/>
        </w:trPr>
        <w:tc>
          <w:tcPr>
            <w:tcW w:w="828" w:type="dxa"/>
            <w:vAlign w:val="center"/>
          </w:tcPr>
          <w:p>
            <w:pPr>
              <w:adjustRightInd w:val="0"/>
              <w:snapToGrid w:val="0"/>
              <w:spacing w:line="300" w:lineRule="auto"/>
              <w:jc w:val="center"/>
              <w:rPr>
                <w:rFonts w:asciiTheme="minorEastAsia" w:eastAsiaTheme="minorEastAsia" w:hAnsiTheme="minorEastAsia"/>
                <w:snapToGrid w:val="0"/>
                <w:kern w:val="0"/>
                <w:szCs w:val="24"/>
              </w:rPr>
            </w:pPr>
            <w:r>
              <w:rPr>
                <w:rFonts w:asciiTheme="minorEastAsia" w:eastAsiaTheme="minorEastAsia" w:hAnsiTheme="minorEastAsia"/>
                <w:snapToGrid w:val="0"/>
                <w:kern w:val="0"/>
                <w:szCs w:val="24"/>
              </w:rPr>
              <w:t>4</w:t>
            </w:r>
          </w:p>
        </w:tc>
        <w:tc>
          <w:tcPr>
            <w:tcW w:w="2485" w:type="dxa"/>
            <w:vAlign w:val="center"/>
          </w:tcPr>
          <w:p>
            <w:pPr>
              <w:adjustRightInd w:val="0"/>
              <w:snapToGrid w:val="0"/>
              <w:spacing w:line="300" w:lineRule="auto"/>
              <w:jc w:val="center"/>
              <w:rPr>
                <w:rFonts w:ascii="宋体" w:hAnsi="宋体"/>
                <w:szCs w:val="21"/>
                <w:lang w:val="zh-CN"/>
              </w:rPr>
            </w:pPr>
          </w:p>
        </w:tc>
        <w:tc>
          <w:tcPr>
            <w:tcW w:w="876" w:type="dxa"/>
            <w:vAlign w:val="center"/>
          </w:tcPr>
          <w:p>
            <w:pPr>
              <w:adjustRightInd w:val="0"/>
              <w:snapToGrid w:val="0"/>
              <w:spacing w:line="300" w:lineRule="auto"/>
              <w:jc w:val="center"/>
              <w:rPr>
                <w:rFonts w:ascii="Times New Roman" w:hAnsi="Times New Roman"/>
                <w:snapToGrid w:val="0"/>
                <w:kern w:val="0"/>
                <w:szCs w:val="24"/>
              </w:rPr>
            </w:pPr>
          </w:p>
        </w:tc>
        <w:tc>
          <w:tcPr>
            <w:tcW w:w="909" w:type="dxa"/>
            <w:vAlign w:val="center"/>
          </w:tcPr>
          <w:p>
            <w:pPr>
              <w:adjustRightInd w:val="0"/>
              <w:snapToGrid w:val="0"/>
              <w:spacing w:line="300" w:lineRule="auto"/>
              <w:jc w:val="center"/>
              <w:rPr>
                <w:rFonts w:ascii="Times New Roman" w:hAnsi="Times New Roman"/>
                <w:snapToGrid w:val="0"/>
                <w:kern w:val="0"/>
                <w:szCs w:val="24"/>
              </w:rPr>
            </w:pPr>
          </w:p>
        </w:tc>
        <w:tc>
          <w:tcPr>
            <w:tcW w:w="1643" w:type="dxa"/>
            <w:vAlign w:val="center"/>
          </w:tcPr>
          <w:p>
            <w:pPr>
              <w:adjustRightInd w:val="0"/>
              <w:snapToGrid w:val="0"/>
              <w:spacing w:line="300" w:lineRule="auto"/>
              <w:jc w:val="center"/>
              <w:rPr>
                <w:rFonts w:ascii="Times New Roman" w:hAnsi="Times New Roman"/>
                <w:snapToGrid w:val="0"/>
                <w:kern w:val="0"/>
                <w:szCs w:val="24"/>
              </w:rPr>
            </w:pPr>
          </w:p>
        </w:tc>
        <w:tc>
          <w:tcPr>
            <w:tcW w:w="1701" w:type="dxa"/>
            <w:vAlign w:val="center"/>
          </w:tcPr>
          <w:p>
            <w:pPr>
              <w:adjustRightInd w:val="0"/>
              <w:snapToGrid w:val="0"/>
              <w:spacing w:line="300" w:lineRule="auto"/>
              <w:jc w:val="center"/>
              <w:rPr>
                <w:rFonts w:ascii="Times New Roman" w:hAnsi="Times New Roman"/>
                <w:snapToGrid w:val="0"/>
                <w:kern w:val="0"/>
                <w:szCs w:val="24"/>
              </w:rPr>
            </w:pPr>
          </w:p>
        </w:tc>
        <w:tc>
          <w:tcPr>
            <w:tcW w:w="1125" w:type="dxa"/>
            <w:vAlign w:val="center"/>
          </w:tcPr>
          <w:p>
            <w:pPr>
              <w:adjustRightInd w:val="0"/>
              <w:snapToGrid w:val="0"/>
              <w:spacing w:line="300" w:lineRule="auto"/>
              <w:jc w:val="center"/>
              <w:rPr>
                <w:rFonts w:ascii="Times New Roman" w:hAnsi="Times New Roman"/>
                <w:snapToGrid w:val="0"/>
                <w:kern w:val="0"/>
                <w:szCs w:val="24"/>
              </w:rPr>
            </w:pPr>
          </w:p>
        </w:tc>
      </w:tr>
      <w:tr>
        <w:tblPrEx>
          <w:tblW w:w="0" w:type="auto"/>
          <w:jc w:val="center"/>
          <w:tblLayout w:type="fixed"/>
          <w:tblCellMar>
            <w:top w:w="0" w:type="dxa"/>
            <w:left w:w="108" w:type="dxa"/>
            <w:bottom w:w="0" w:type="dxa"/>
            <w:right w:w="108" w:type="dxa"/>
          </w:tblCellMar>
        </w:tblPrEx>
        <w:trPr>
          <w:cantSplit/>
          <w:trHeight w:val="427"/>
          <w:jc w:val="center"/>
        </w:trPr>
        <w:tc>
          <w:tcPr>
            <w:tcW w:w="828" w:type="dxa"/>
            <w:tcBorders>
              <w:bottom w:val="single" w:sz="4" w:space="0" w:color="auto"/>
            </w:tcBorders>
            <w:vAlign w:val="center"/>
          </w:tcPr>
          <w:p>
            <w:pPr>
              <w:adjustRightInd w:val="0"/>
              <w:snapToGrid w:val="0"/>
              <w:spacing w:line="300" w:lineRule="auto"/>
              <w:jc w:val="center"/>
              <w:rPr>
                <w:rFonts w:asciiTheme="minorEastAsia" w:eastAsiaTheme="minorEastAsia" w:hAnsiTheme="minorEastAsia"/>
                <w:snapToGrid w:val="0"/>
                <w:kern w:val="0"/>
                <w:szCs w:val="24"/>
              </w:rPr>
            </w:pPr>
            <w:r>
              <w:rPr>
                <w:rFonts w:asciiTheme="minorEastAsia" w:eastAsiaTheme="minorEastAsia" w:hAnsiTheme="minorEastAsia"/>
                <w:snapToGrid w:val="0"/>
                <w:kern w:val="0"/>
                <w:szCs w:val="24"/>
              </w:rPr>
              <w:t>5</w:t>
            </w:r>
          </w:p>
        </w:tc>
        <w:tc>
          <w:tcPr>
            <w:tcW w:w="2485" w:type="dxa"/>
            <w:tcBorders>
              <w:bottom w:val="single" w:sz="4" w:space="0" w:color="auto"/>
            </w:tcBorders>
            <w:vAlign w:val="center"/>
          </w:tcPr>
          <w:p>
            <w:pPr>
              <w:adjustRightInd w:val="0"/>
              <w:snapToGrid w:val="0"/>
              <w:spacing w:line="300" w:lineRule="auto"/>
              <w:jc w:val="center"/>
              <w:rPr>
                <w:rFonts w:ascii="宋体" w:hAnsi="宋体"/>
                <w:szCs w:val="21"/>
                <w:lang w:val="zh-CN"/>
              </w:rPr>
            </w:pPr>
          </w:p>
        </w:tc>
        <w:tc>
          <w:tcPr>
            <w:tcW w:w="876" w:type="dxa"/>
            <w:tcBorders>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c>
          <w:tcPr>
            <w:tcW w:w="909" w:type="dxa"/>
            <w:tcBorders>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c>
          <w:tcPr>
            <w:tcW w:w="1643" w:type="dxa"/>
            <w:tcBorders>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c>
          <w:tcPr>
            <w:tcW w:w="1701" w:type="dxa"/>
            <w:tcBorders>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c>
          <w:tcPr>
            <w:tcW w:w="1125" w:type="dxa"/>
            <w:tcBorders>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r>
      <w:tr>
        <w:tblPrEx>
          <w:tblW w:w="0" w:type="auto"/>
          <w:jc w:val="center"/>
          <w:tblLayout w:type="fixed"/>
          <w:tblCellMar>
            <w:top w:w="0" w:type="dxa"/>
            <w:left w:w="108" w:type="dxa"/>
            <w:bottom w:w="0" w:type="dxa"/>
            <w:right w:w="108" w:type="dxa"/>
          </w:tblCellMar>
        </w:tblPrEx>
        <w:trPr>
          <w:cantSplit/>
          <w:trHeight w:val="427"/>
          <w:jc w:val="center"/>
        </w:trPr>
        <w:tc>
          <w:tcPr>
            <w:tcW w:w="828" w:type="dxa"/>
            <w:tcBorders>
              <w:top w:val="single" w:sz="4" w:space="0" w:color="auto"/>
              <w:bottom w:val="single" w:sz="4" w:space="0" w:color="auto"/>
            </w:tcBorders>
            <w:vAlign w:val="center"/>
          </w:tcPr>
          <w:p>
            <w:pPr>
              <w:adjustRightInd w:val="0"/>
              <w:snapToGrid w:val="0"/>
              <w:spacing w:line="300" w:lineRule="auto"/>
              <w:jc w:val="center"/>
              <w:rPr>
                <w:rFonts w:asciiTheme="minorEastAsia" w:eastAsiaTheme="minorEastAsia" w:hAnsiTheme="minorEastAsia"/>
                <w:snapToGrid w:val="0"/>
                <w:kern w:val="0"/>
                <w:szCs w:val="24"/>
              </w:rPr>
            </w:pPr>
            <w:r>
              <w:rPr>
                <w:rFonts w:asciiTheme="minorEastAsia" w:eastAsiaTheme="minorEastAsia" w:hAnsiTheme="minorEastAsia"/>
                <w:snapToGrid w:val="0"/>
                <w:kern w:val="0"/>
                <w:szCs w:val="24"/>
              </w:rPr>
              <w:t>6</w:t>
            </w:r>
          </w:p>
        </w:tc>
        <w:tc>
          <w:tcPr>
            <w:tcW w:w="2485" w:type="dxa"/>
            <w:tcBorders>
              <w:top w:val="single" w:sz="4" w:space="0" w:color="auto"/>
              <w:bottom w:val="single" w:sz="4" w:space="0" w:color="auto"/>
            </w:tcBorders>
            <w:vAlign w:val="center"/>
          </w:tcPr>
          <w:p>
            <w:pPr>
              <w:adjustRightInd w:val="0"/>
              <w:snapToGrid w:val="0"/>
              <w:spacing w:line="300" w:lineRule="auto"/>
              <w:jc w:val="center"/>
              <w:rPr>
                <w:rFonts w:ascii="宋体" w:hAnsi="宋体"/>
                <w:szCs w:val="21"/>
                <w:lang w:val="zh-CN"/>
              </w:rPr>
            </w:pPr>
          </w:p>
        </w:tc>
        <w:tc>
          <w:tcPr>
            <w:tcW w:w="876" w:type="dxa"/>
            <w:tcBorders>
              <w:top w:val="single" w:sz="4" w:space="0" w:color="auto"/>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c>
          <w:tcPr>
            <w:tcW w:w="909" w:type="dxa"/>
            <w:tcBorders>
              <w:top w:val="single" w:sz="4" w:space="0" w:color="auto"/>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c>
          <w:tcPr>
            <w:tcW w:w="1643" w:type="dxa"/>
            <w:tcBorders>
              <w:top w:val="single" w:sz="4" w:space="0" w:color="auto"/>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c>
          <w:tcPr>
            <w:tcW w:w="1701" w:type="dxa"/>
            <w:tcBorders>
              <w:top w:val="single" w:sz="4" w:space="0" w:color="auto"/>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c>
          <w:tcPr>
            <w:tcW w:w="1125" w:type="dxa"/>
            <w:tcBorders>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r>
      <w:tr>
        <w:tblPrEx>
          <w:tblW w:w="0" w:type="auto"/>
          <w:jc w:val="center"/>
          <w:tblLayout w:type="fixed"/>
          <w:tblCellMar>
            <w:top w:w="0" w:type="dxa"/>
            <w:left w:w="108" w:type="dxa"/>
            <w:bottom w:w="0" w:type="dxa"/>
            <w:right w:w="108" w:type="dxa"/>
          </w:tblCellMar>
        </w:tblPrEx>
        <w:trPr>
          <w:cantSplit/>
          <w:trHeight w:val="427"/>
          <w:jc w:val="center"/>
        </w:trPr>
        <w:tc>
          <w:tcPr>
            <w:tcW w:w="828" w:type="dxa"/>
            <w:tcBorders>
              <w:top w:val="single" w:sz="4" w:space="0" w:color="auto"/>
              <w:bottom w:val="single" w:sz="4" w:space="0" w:color="auto"/>
            </w:tcBorders>
            <w:vAlign w:val="center"/>
          </w:tcPr>
          <w:p>
            <w:pPr>
              <w:adjustRightInd w:val="0"/>
              <w:snapToGrid w:val="0"/>
              <w:spacing w:line="300" w:lineRule="auto"/>
              <w:jc w:val="center"/>
              <w:rPr>
                <w:rFonts w:asciiTheme="minorEastAsia" w:eastAsiaTheme="minorEastAsia" w:hAnsiTheme="minorEastAsia"/>
                <w:snapToGrid w:val="0"/>
                <w:kern w:val="0"/>
                <w:szCs w:val="24"/>
              </w:rPr>
            </w:pPr>
            <w:r>
              <w:rPr>
                <w:rFonts w:asciiTheme="minorEastAsia" w:eastAsiaTheme="minorEastAsia" w:hAnsiTheme="minorEastAsia"/>
                <w:snapToGrid w:val="0"/>
                <w:kern w:val="0"/>
                <w:szCs w:val="24"/>
              </w:rPr>
              <w:t>7</w:t>
            </w:r>
          </w:p>
        </w:tc>
        <w:tc>
          <w:tcPr>
            <w:tcW w:w="2485" w:type="dxa"/>
            <w:tcBorders>
              <w:top w:val="single" w:sz="4" w:space="0" w:color="auto"/>
              <w:bottom w:val="single" w:sz="4" w:space="0" w:color="auto"/>
            </w:tcBorders>
            <w:vAlign w:val="center"/>
          </w:tcPr>
          <w:p>
            <w:pPr>
              <w:adjustRightInd w:val="0"/>
              <w:snapToGrid w:val="0"/>
              <w:spacing w:line="300" w:lineRule="auto"/>
              <w:jc w:val="center"/>
              <w:rPr>
                <w:rFonts w:ascii="宋体" w:hAnsi="宋体"/>
                <w:szCs w:val="21"/>
                <w:lang w:val="zh-CN"/>
              </w:rPr>
            </w:pPr>
          </w:p>
        </w:tc>
        <w:tc>
          <w:tcPr>
            <w:tcW w:w="876" w:type="dxa"/>
            <w:tcBorders>
              <w:top w:val="single" w:sz="4" w:space="0" w:color="auto"/>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c>
          <w:tcPr>
            <w:tcW w:w="909" w:type="dxa"/>
            <w:tcBorders>
              <w:top w:val="single" w:sz="4" w:space="0" w:color="auto"/>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c>
          <w:tcPr>
            <w:tcW w:w="1643" w:type="dxa"/>
            <w:tcBorders>
              <w:top w:val="single" w:sz="4" w:space="0" w:color="auto"/>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c>
          <w:tcPr>
            <w:tcW w:w="1701" w:type="dxa"/>
            <w:tcBorders>
              <w:top w:val="single" w:sz="4" w:space="0" w:color="auto"/>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c>
          <w:tcPr>
            <w:tcW w:w="1125" w:type="dxa"/>
            <w:tcBorders>
              <w:bottom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r>
      <w:tr>
        <w:tblPrEx>
          <w:tblW w:w="0" w:type="auto"/>
          <w:jc w:val="center"/>
          <w:tblLayout w:type="fixed"/>
          <w:tblCellMar>
            <w:top w:w="0" w:type="dxa"/>
            <w:left w:w="108" w:type="dxa"/>
            <w:bottom w:w="0" w:type="dxa"/>
            <w:right w:w="108" w:type="dxa"/>
          </w:tblCellMar>
        </w:tblPrEx>
        <w:trPr>
          <w:cantSplit/>
          <w:trHeight w:val="424"/>
          <w:jc w:val="center"/>
        </w:trPr>
        <w:tc>
          <w:tcPr>
            <w:tcW w:w="6741" w:type="dxa"/>
            <w:gridSpan w:val="5"/>
            <w:tcBorders>
              <w:top w:val="single" w:sz="4" w:space="0" w:color="auto"/>
            </w:tcBorders>
            <w:vAlign w:val="center"/>
          </w:tcPr>
          <w:p>
            <w:pPr>
              <w:adjustRightInd w:val="0"/>
              <w:snapToGrid w:val="0"/>
              <w:spacing w:line="300" w:lineRule="auto"/>
              <w:jc w:val="center"/>
              <w:rPr>
                <w:rFonts w:ascii="Times New Roman" w:hAnsi="Times New Roman"/>
                <w:snapToGrid w:val="0"/>
                <w:kern w:val="0"/>
                <w:szCs w:val="24"/>
              </w:rPr>
            </w:pPr>
            <w:r>
              <w:rPr>
                <w:rFonts w:ascii="Times New Roman" w:hAnsi="Times New Roman" w:hint="eastAsia"/>
                <w:snapToGrid w:val="0"/>
                <w:kern w:val="0"/>
                <w:szCs w:val="24"/>
              </w:rPr>
              <w:t>合</w:t>
            </w:r>
            <w:r>
              <w:rPr>
                <w:rFonts w:ascii="Times New Roman" w:hAnsi="Times New Roman"/>
                <w:snapToGrid w:val="0"/>
                <w:kern w:val="0"/>
                <w:szCs w:val="24"/>
              </w:rPr>
              <w:t xml:space="preserve">   </w:t>
            </w:r>
            <w:r>
              <w:rPr>
                <w:rFonts w:ascii="Times New Roman" w:hAnsi="Times New Roman" w:hint="eastAsia"/>
                <w:snapToGrid w:val="0"/>
                <w:kern w:val="0"/>
                <w:szCs w:val="24"/>
              </w:rPr>
              <w:t>计（即投标总价，单位：元）</w:t>
            </w:r>
          </w:p>
        </w:tc>
        <w:tc>
          <w:tcPr>
            <w:tcW w:w="1701" w:type="dxa"/>
            <w:tcBorders>
              <w:top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c>
          <w:tcPr>
            <w:tcW w:w="1125" w:type="dxa"/>
            <w:tcBorders>
              <w:top w:val="single" w:sz="4" w:space="0" w:color="auto"/>
            </w:tcBorders>
            <w:vAlign w:val="center"/>
          </w:tcPr>
          <w:p>
            <w:pPr>
              <w:adjustRightInd w:val="0"/>
              <w:snapToGrid w:val="0"/>
              <w:spacing w:line="300" w:lineRule="auto"/>
              <w:jc w:val="center"/>
              <w:rPr>
                <w:rFonts w:ascii="Times New Roman" w:hAnsi="Times New Roman"/>
                <w:snapToGrid w:val="0"/>
                <w:kern w:val="0"/>
                <w:szCs w:val="24"/>
              </w:rPr>
            </w:pPr>
          </w:p>
        </w:tc>
      </w:tr>
    </w:tbl>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注：1、本表格仅为指导性范本，供应商可根据项目具体情况对各分项内容进行调整。</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2、投标总价应为以上各分项价格之和。</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3、开标一览表的投标总价必须与以上分项报价清单的投标总价一致。</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4、</w:t>
      </w:r>
      <w:r>
        <w:rPr>
          <w:rFonts w:ascii="宋体" w:hAnsi="宋体" w:hint="eastAsia"/>
          <w:szCs w:val="21"/>
        </w:rPr>
        <w:t>根据《中华人民共和国财政部令第87号-政府采购货物和服务招标投标管理办法》第六十条规定：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keepNext/>
        <w:keepLines/>
        <w:tabs>
          <w:tab w:val="left" w:pos="765"/>
        </w:tabs>
        <w:spacing w:line="376" w:lineRule="auto"/>
        <w:outlineLvl w:val="3"/>
        <w:rPr>
          <w:rFonts w:asciiTheme="minorEastAsia" w:eastAsiaTheme="minorEastAsia" w:hAnsiTheme="minorEastAsia"/>
          <w:bCs/>
          <w:kern w:val="0"/>
          <w:szCs w:val="21"/>
        </w:rPr>
      </w:pPr>
    </w:p>
    <w:p>
      <w:pPr>
        <w:spacing w:after="156" w:afterLines="50"/>
        <w:jc w:val="center"/>
        <w:rPr>
          <w:rFonts w:ascii="黑体" w:eastAsia="黑体" w:hAnsi="宋体"/>
          <w:bCs/>
          <w:kern w:val="0"/>
          <w:sz w:val="24"/>
          <w:szCs w:val="24"/>
        </w:rPr>
      </w:pPr>
      <w:r>
        <w:rPr>
          <w:rFonts w:ascii="黑体" w:eastAsia="黑体" w:hAnsi="宋体" w:hint="eastAsia"/>
          <w:bCs/>
          <w:kern w:val="0"/>
          <w:sz w:val="24"/>
          <w:szCs w:val="24"/>
        </w:rPr>
        <w:t>十、服务要求偏离表</w:t>
      </w:r>
    </w:p>
    <w:tbl>
      <w:tblPr>
        <w:tblStyle w:val="TableNormal"/>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851"/>
        <w:gridCol w:w="2551"/>
        <w:gridCol w:w="1985"/>
        <w:gridCol w:w="1276"/>
        <w:gridCol w:w="2551"/>
      </w:tblGrid>
      <w:tr>
        <w:tblPrEx>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551"/>
        </w:trPr>
        <w:tc>
          <w:tcPr>
            <w:tcW w:w="851" w:type="dxa"/>
            <w:vAlign w:val="center"/>
          </w:tcPr>
          <w:p>
            <w:pPr>
              <w:jc w:val="center"/>
              <w:rPr>
                <w:rFonts w:ascii="宋体" w:hAnsi="宋体"/>
                <w:szCs w:val="21"/>
              </w:rPr>
            </w:pPr>
            <w:r>
              <w:rPr>
                <w:rFonts w:ascii="宋体" w:hAnsi="宋体" w:hint="eastAsia"/>
                <w:szCs w:val="21"/>
              </w:rPr>
              <w:t>序号</w:t>
            </w:r>
          </w:p>
        </w:tc>
        <w:tc>
          <w:tcPr>
            <w:tcW w:w="2551" w:type="dxa"/>
            <w:vAlign w:val="center"/>
          </w:tcPr>
          <w:p>
            <w:pPr>
              <w:jc w:val="center"/>
              <w:rPr>
                <w:rFonts w:ascii="宋体" w:hAnsi="宋体"/>
                <w:szCs w:val="21"/>
              </w:rPr>
            </w:pPr>
            <w:r>
              <w:rPr>
                <w:rFonts w:ascii="宋体" w:hAnsi="宋体" w:hint="eastAsia"/>
                <w:szCs w:val="21"/>
              </w:rPr>
              <w:t>招标文件服务要求</w:t>
            </w:r>
          </w:p>
        </w:tc>
        <w:tc>
          <w:tcPr>
            <w:tcW w:w="1985" w:type="dxa"/>
            <w:vAlign w:val="center"/>
          </w:tcPr>
          <w:p>
            <w:pPr>
              <w:jc w:val="center"/>
              <w:rPr>
                <w:rFonts w:ascii="宋体" w:hAnsi="宋体"/>
                <w:szCs w:val="21"/>
              </w:rPr>
            </w:pPr>
            <w:r>
              <w:rPr>
                <w:rFonts w:ascii="宋体" w:hAnsi="宋体" w:hint="eastAsia"/>
                <w:szCs w:val="21"/>
              </w:rPr>
              <w:t>投标文件服务响应</w:t>
            </w:r>
          </w:p>
        </w:tc>
        <w:tc>
          <w:tcPr>
            <w:tcW w:w="1276" w:type="dxa"/>
            <w:vAlign w:val="center"/>
          </w:tcPr>
          <w:p>
            <w:pPr>
              <w:jc w:val="center"/>
              <w:rPr>
                <w:rFonts w:ascii="宋体" w:hAnsi="宋体"/>
                <w:szCs w:val="21"/>
              </w:rPr>
            </w:pPr>
            <w:r>
              <w:rPr>
                <w:rFonts w:ascii="宋体" w:hAnsi="宋体" w:hint="eastAsia"/>
                <w:szCs w:val="21"/>
              </w:rPr>
              <w:t>偏离情况</w:t>
            </w:r>
          </w:p>
        </w:tc>
        <w:tc>
          <w:tcPr>
            <w:tcW w:w="2551" w:type="dxa"/>
            <w:vAlign w:val="center"/>
          </w:tcPr>
          <w:p>
            <w:pPr>
              <w:jc w:val="center"/>
              <w:rPr>
                <w:rFonts w:ascii="宋体" w:hAnsi="宋体"/>
                <w:szCs w:val="21"/>
              </w:rPr>
            </w:pPr>
            <w:r>
              <w:rPr>
                <w:rFonts w:ascii="宋体" w:hAnsi="宋体" w:hint="eastAsia"/>
                <w:szCs w:val="21"/>
              </w:rPr>
              <w:t>说明</w:t>
            </w:r>
          </w:p>
        </w:tc>
      </w:tr>
      <w:tr>
        <w:tblPrEx>
          <w:tblW w:w="9214" w:type="dxa"/>
          <w:tblInd w:w="108" w:type="dxa"/>
          <w:tblLayout w:type="fixed"/>
          <w:tblCellMar>
            <w:top w:w="0" w:type="dxa"/>
            <w:left w:w="108" w:type="dxa"/>
            <w:bottom w:w="0" w:type="dxa"/>
            <w:right w:w="108" w:type="dxa"/>
          </w:tblCellMar>
        </w:tblPrEx>
        <w:trPr>
          <w:trHeight w:val="262"/>
        </w:trPr>
        <w:tc>
          <w:tcPr>
            <w:tcW w:w="851" w:type="dxa"/>
          </w:tcPr>
          <w:p>
            <w:pPr>
              <w:rPr>
                <w:sz w:val="24"/>
              </w:rPr>
            </w:pPr>
          </w:p>
        </w:tc>
        <w:tc>
          <w:tcPr>
            <w:tcW w:w="2551" w:type="dxa"/>
          </w:tcPr>
          <w:p>
            <w:pPr>
              <w:rPr>
                <w:sz w:val="24"/>
              </w:rPr>
            </w:pPr>
          </w:p>
        </w:tc>
        <w:tc>
          <w:tcPr>
            <w:tcW w:w="1985" w:type="dxa"/>
          </w:tcPr>
          <w:p>
            <w:pPr>
              <w:rPr>
                <w:sz w:val="24"/>
              </w:rPr>
            </w:pPr>
          </w:p>
        </w:tc>
        <w:tc>
          <w:tcPr>
            <w:tcW w:w="1276" w:type="dxa"/>
          </w:tcPr>
          <w:p>
            <w:pPr>
              <w:rPr>
                <w:sz w:val="24"/>
              </w:rPr>
            </w:pPr>
          </w:p>
        </w:tc>
        <w:tc>
          <w:tcPr>
            <w:tcW w:w="2551" w:type="dxa"/>
          </w:tcPr>
          <w:p>
            <w:pPr>
              <w:rPr>
                <w:szCs w:val="21"/>
              </w:rPr>
            </w:pPr>
            <w:r>
              <w:rPr>
                <w:rFonts w:hint="eastAsia"/>
                <w:szCs w:val="21"/>
              </w:rPr>
              <w:t>如需附证明文件，应在“说明”栏填写证明文件对应名称和页码。</w:t>
            </w:r>
          </w:p>
        </w:tc>
      </w:tr>
      <w:tr>
        <w:tblPrEx>
          <w:tblW w:w="9214" w:type="dxa"/>
          <w:tblInd w:w="108" w:type="dxa"/>
          <w:tblLayout w:type="fixed"/>
          <w:tblCellMar>
            <w:top w:w="0" w:type="dxa"/>
            <w:left w:w="108" w:type="dxa"/>
            <w:bottom w:w="0" w:type="dxa"/>
            <w:right w:w="108" w:type="dxa"/>
          </w:tblCellMar>
        </w:tblPrEx>
        <w:trPr>
          <w:trHeight w:val="262"/>
        </w:trPr>
        <w:tc>
          <w:tcPr>
            <w:tcW w:w="851" w:type="dxa"/>
          </w:tcPr>
          <w:p>
            <w:pPr>
              <w:rPr>
                <w:sz w:val="24"/>
              </w:rPr>
            </w:pPr>
          </w:p>
        </w:tc>
        <w:tc>
          <w:tcPr>
            <w:tcW w:w="2551" w:type="dxa"/>
          </w:tcPr>
          <w:p>
            <w:pPr>
              <w:rPr>
                <w:sz w:val="24"/>
              </w:rPr>
            </w:pPr>
          </w:p>
        </w:tc>
        <w:tc>
          <w:tcPr>
            <w:tcW w:w="1985" w:type="dxa"/>
          </w:tcPr>
          <w:p>
            <w:pPr>
              <w:rPr>
                <w:sz w:val="24"/>
              </w:rPr>
            </w:pPr>
          </w:p>
        </w:tc>
        <w:tc>
          <w:tcPr>
            <w:tcW w:w="1276" w:type="dxa"/>
          </w:tcPr>
          <w:p>
            <w:pPr>
              <w:rPr>
                <w:sz w:val="24"/>
              </w:rPr>
            </w:pPr>
          </w:p>
        </w:tc>
        <w:tc>
          <w:tcPr>
            <w:tcW w:w="2551" w:type="dxa"/>
          </w:tcPr>
          <w:p>
            <w:pPr>
              <w:rPr>
                <w:sz w:val="24"/>
              </w:rPr>
            </w:pPr>
          </w:p>
        </w:tc>
      </w:tr>
    </w:tbl>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备注：</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bCs/>
          <w:kern w:val="0"/>
          <w:szCs w:val="21"/>
        </w:rPr>
        <w:t>1</w:t>
      </w:r>
      <w:r>
        <w:rPr>
          <w:rFonts w:asciiTheme="minorEastAsia" w:eastAsiaTheme="minorEastAsia" w:hAnsiTheme="minorEastAsia" w:hint="eastAsia"/>
          <w:bCs/>
          <w:kern w:val="0"/>
          <w:szCs w:val="21"/>
        </w:rPr>
        <w:t>、</w:t>
      </w:r>
      <w:r>
        <w:rPr>
          <w:rFonts w:asciiTheme="minorEastAsia" w:eastAsiaTheme="minorEastAsia" w:hAnsiTheme="minorEastAsia"/>
          <w:bCs/>
          <w:kern w:val="0"/>
          <w:szCs w:val="21"/>
        </w:rPr>
        <w:t>“招标文件服务要求”一栏填写招标文件第二章“招标项目需求”</w:t>
      </w:r>
      <w:r>
        <w:rPr>
          <w:rFonts w:asciiTheme="minorEastAsia" w:eastAsiaTheme="minorEastAsia" w:hAnsiTheme="minorEastAsia"/>
          <w:b/>
          <w:bCs/>
          <w:kern w:val="0"/>
          <w:szCs w:val="21"/>
          <w:highlight w:val="yellow"/>
        </w:rPr>
        <w:t>“</w:t>
      </w:r>
      <w:r>
        <w:rPr>
          <w:rFonts w:asciiTheme="minorEastAsia" w:eastAsiaTheme="minorEastAsia" w:hAnsiTheme="minorEastAsia" w:hint="eastAsia"/>
          <w:b/>
          <w:bCs/>
          <w:kern w:val="0"/>
          <w:szCs w:val="21"/>
          <w:highlight w:val="yellow"/>
        </w:rPr>
        <w:t>四、项目</w:t>
      </w:r>
      <w:r>
        <w:rPr>
          <w:rFonts w:asciiTheme="minorEastAsia" w:eastAsiaTheme="minorEastAsia" w:hAnsiTheme="minorEastAsia"/>
          <w:b/>
          <w:bCs/>
          <w:kern w:val="0"/>
          <w:szCs w:val="21"/>
          <w:highlight w:val="yellow"/>
        </w:rPr>
        <w:t>服务</w:t>
      </w:r>
      <w:r>
        <w:rPr>
          <w:rFonts w:asciiTheme="minorEastAsia" w:eastAsiaTheme="minorEastAsia" w:hAnsiTheme="minorEastAsia" w:hint="eastAsia"/>
          <w:b/>
          <w:bCs/>
          <w:kern w:val="0"/>
          <w:szCs w:val="21"/>
          <w:highlight w:val="yellow"/>
        </w:rPr>
        <w:t>要求</w:t>
      </w:r>
      <w:r>
        <w:rPr>
          <w:rFonts w:asciiTheme="minorEastAsia" w:eastAsiaTheme="minorEastAsia" w:hAnsiTheme="minorEastAsia"/>
          <w:b/>
          <w:bCs/>
          <w:kern w:val="0"/>
          <w:szCs w:val="21"/>
          <w:highlight w:val="yellow"/>
        </w:rPr>
        <w:t>”</w:t>
      </w:r>
      <w:r>
        <w:rPr>
          <w:rFonts w:asciiTheme="minorEastAsia" w:eastAsiaTheme="minorEastAsia" w:hAnsiTheme="minorEastAsia"/>
          <w:bCs/>
          <w:kern w:val="0"/>
          <w:szCs w:val="21"/>
        </w:rPr>
        <w:t>的内容。</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bCs/>
          <w:kern w:val="0"/>
          <w:szCs w:val="21"/>
        </w:rPr>
        <w:t>2</w:t>
      </w:r>
      <w:r>
        <w:rPr>
          <w:rFonts w:asciiTheme="minorEastAsia" w:eastAsiaTheme="minorEastAsia" w:hAnsiTheme="minorEastAsia" w:hint="eastAsia"/>
          <w:bCs/>
          <w:kern w:val="0"/>
          <w:szCs w:val="21"/>
        </w:rPr>
        <w:t>、</w:t>
      </w:r>
      <w:r>
        <w:rPr>
          <w:rFonts w:asciiTheme="minorEastAsia" w:eastAsiaTheme="minorEastAsia" w:hAnsiTheme="minorEastAsia"/>
          <w:bCs/>
          <w:kern w:val="0"/>
          <w:szCs w:val="21"/>
        </w:rPr>
        <w:t>“投标文件服务</w:t>
      </w:r>
      <w:r>
        <w:rPr>
          <w:rFonts w:asciiTheme="minorEastAsia" w:eastAsiaTheme="minorEastAsia" w:hAnsiTheme="minorEastAsia" w:hint="eastAsia"/>
          <w:bCs/>
          <w:kern w:val="0"/>
          <w:szCs w:val="21"/>
        </w:rPr>
        <w:t>响应</w:t>
      </w:r>
      <w:r>
        <w:rPr>
          <w:rFonts w:asciiTheme="minorEastAsia" w:eastAsiaTheme="minorEastAsia" w:hAnsiTheme="minorEastAsia"/>
          <w:bCs/>
          <w:kern w:val="0"/>
          <w:szCs w:val="21"/>
        </w:rPr>
        <w:t>”一栏详细填写响应情况，并应对照</w:t>
      </w:r>
      <w:r>
        <w:rPr>
          <w:rFonts w:asciiTheme="minorEastAsia" w:eastAsiaTheme="minorEastAsia" w:hAnsiTheme="minorEastAsia" w:hint="eastAsia"/>
          <w:bCs/>
          <w:kern w:val="0"/>
          <w:szCs w:val="21"/>
        </w:rPr>
        <w:t>招</w:t>
      </w:r>
      <w:r>
        <w:rPr>
          <w:rFonts w:asciiTheme="minorEastAsia" w:eastAsiaTheme="minorEastAsia" w:hAnsiTheme="minorEastAsia"/>
          <w:bCs/>
          <w:kern w:val="0"/>
          <w:szCs w:val="21"/>
        </w:rPr>
        <w:t>标文件</w:t>
      </w:r>
      <w:r>
        <w:rPr>
          <w:rFonts w:asciiTheme="minorEastAsia" w:eastAsiaTheme="minorEastAsia" w:hAnsiTheme="minorEastAsia" w:hint="eastAsia"/>
          <w:bCs/>
          <w:kern w:val="0"/>
          <w:szCs w:val="21"/>
        </w:rPr>
        <w:t>服务</w:t>
      </w:r>
      <w:r>
        <w:rPr>
          <w:rFonts w:asciiTheme="minorEastAsia" w:eastAsiaTheme="minorEastAsia" w:hAnsiTheme="minorEastAsia"/>
          <w:bCs/>
          <w:kern w:val="0"/>
          <w:szCs w:val="21"/>
        </w:rPr>
        <w:t>要求一一对应响应。</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bCs/>
          <w:kern w:val="0"/>
          <w:szCs w:val="21"/>
        </w:rPr>
        <w:t>3</w:t>
      </w:r>
      <w:r>
        <w:rPr>
          <w:rFonts w:asciiTheme="minorEastAsia" w:eastAsiaTheme="minorEastAsia" w:hAnsiTheme="minorEastAsia" w:hint="eastAsia"/>
          <w:bCs/>
          <w:kern w:val="0"/>
          <w:szCs w:val="21"/>
        </w:rPr>
        <w:t>、</w:t>
      </w:r>
      <w:r>
        <w:rPr>
          <w:rFonts w:asciiTheme="minorEastAsia" w:eastAsiaTheme="minorEastAsia" w:hAnsiTheme="minorEastAsia"/>
          <w:bCs/>
          <w:kern w:val="0"/>
          <w:szCs w:val="21"/>
        </w:rPr>
        <w:t>“偏离情况”一栏应如实填写“正偏离”、“负偏离”或“无偏离”。</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4、对于实质性条款，投标文件响应为“负偏离”的，投标文件将作投标无效处理</w:t>
      </w:r>
      <w:r>
        <w:rPr>
          <w:rFonts w:asciiTheme="minorEastAsia" w:eastAsiaTheme="minorEastAsia" w:hAnsiTheme="minorEastAsia"/>
          <w:bCs/>
          <w:kern w:val="0"/>
          <w:szCs w:val="21"/>
        </w:rPr>
        <w:t>。</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5、如招标文件要求提供证明材料的，投标文件需提供相应证明材料扫描件（原件备查）并注明证明材料在投标文件中的具体位置，未按要求提供证明材料或未注明证明材料的具体位置或提供的证明资料显示不符合招标文件要求、模糊不清无法判断或未显示是否满足招标文件要求的，均视为负偏离。</w:t>
      </w:r>
    </w:p>
    <w:p>
      <w:pPr>
        <w:spacing w:after="156" w:afterLines="50"/>
        <w:jc w:val="center"/>
        <w:rPr>
          <w:rFonts w:ascii="黑体" w:eastAsia="黑体" w:hAnsi="宋体"/>
          <w:bCs/>
          <w:kern w:val="0"/>
          <w:sz w:val="24"/>
          <w:szCs w:val="24"/>
        </w:rPr>
      </w:pPr>
      <w:r>
        <w:rPr>
          <w:rFonts w:ascii="黑体" w:eastAsia="黑体" w:hAnsi="宋体" w:hint="eastAsia"/>
          <w:bCs/>
          <w:kern w:val="0"/>
          <w:sz w:val="24"/>
          <w:szCs w:val="24"/>
        </w:rPr>
        <w:t>十一、商务要求偏离表</w:t>
      </w:r>
    </w:p>
    <w:tbl>
      <w:tblPr>
        <w:tblStyle w:val="TableNormal"/>
        <w:tblW w:w="91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851"/>
        <w:gridCol w:w="2410"/>
        <w:gridCol w:w="2551"/>
        <w:gridCol w:w="1344"/>
        <w:gridCol w:w="2008"/>
      </w:tblGrid>
      <w:tr>
        <w:tblPrEx>
          <w:tblW w:w="91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548"/>
        </w:trPr>
        <w:tc>
          <w:tcPr>
            <w:tcW w:w="851" w:type="dxa"/>
            <w:vAlign w:val="center"/>
          </w:tcPr>
          <w:p>
            <w:pPr>
              <w:jc w:val="center"/>
              <w:rPr>
                <w:rFonts w:ascii="宋体" w:hAnsi="宋体"/>
                <w:szCs w:val="21"/>
              </w:rPr>
            </w:pPr>
            <w:r>
              <w:rPr>
                <w:rFonts w:ascii="宋体" w:hAnsi="宋体" w:hint="eastAsia"/>
                <w:szCs w:val="21"/>
              </w:rPr>
              <w:t>序号</w:t>
            </w:r>
          </w:p>
        </w:tc>
        <w:tc>
          <w:tcPr>
            <w:tcW w:w="2410" w:type="dxa"/>
            <w:vAlign w:val="center"/>
          </w:tcPr>
          <w:p>
            <w:pPr>
              <w:jc w:val="center"/>
              <w:rPr>
                <w:rFonts w:ascii="宋体" w:hAnsi="宋体"/>
                <w:szCs w:val="21"/>
              </w:rPr>
            </w:pPr>
            <w:r>
              <w:rPr>
                <w:rFonts w:ascii="宋体" w:hAnsi="宋体" w:hint="eastAsia"/>
                <w:szCs w:val="21"/>
              </w:rPr>
              <w:t>招标文件商务要求</w:t>
            </w:r>
          </w:p>
        </w:tc>
        <w:tc>
          <w:tcPr>
            <w:tcW w:w="2551" w:type="dxa"/>
            <w:vAlign w:val="center"/>
          </w:tcPr>
          <w:p>
            <w:pPr>
              <w:jc w:val="center"/>
              <w:rPr>
                <w:rFonts w:ascii="宋体" w:hAnsi="宋体"/>
                <w:szCs w:val="21"/>
              </w:rPr>
            </w:pPr>
            <w:r>
              <w:rPr>
                <w:rFonts w:ascii="宋体" w:hAnsi="宋体" w:hint="eastAsia"/>
                <w:szCs w:val="21"/>
              </w:rPr>
              <w:t>投标文件商务响应</w:t>
            </w:r>
          </w:p>
        </w:tc>
        <w:tc>
          <w:tcPr>
            <w:tcW w:w="1344" w:type="dxa"/>
            <w:vAlign w:val="center"/>
          </w:tcPr>
          <w:p>
            <w:pPr>
              <w:jc w:val="center"/>
              <w:rPr>
                <w:rFonts w:ascii="宋体" w:hAnsi="宋体"/>
                <w:szCs w:val="21"/>
              </w:rPr>
            </w:pPr>
            <w:r>
              <w:rPr>
                <w:rFonts w:ascii="宋体" w:hAnsi="宋体" w:hint="eastAsia"/>
                <w:szCs w:val="21"/>
              </w:rPr>
              <w:t>偏离情况</w:t>
            </w:r>
          </w:p>
        </w:tc>
        <w:tc>
          <w:tcPr>
            <w:tcW w:w="2008" w:type="dxa"/>
            <w:vAlign w:val="center"/>
          </w:tcPr>
          <w:p>
            <w:pPr>
              <w:jc w:val="center"/>
              <w:rPr>
                <w:rFonts w:ascii="宋体" w:hAnsi="宋体"/>
                <w:szCs w:val="21"/>
              </w:rPr>
            </w:pPr>
            <w:r>
              <w:rPr>
                <w:rFonts w:ascii="宋体" w:hAnsi="宋体" w:hint="eastAsia"/>
                <w:szCs w:val="21"/>
              </w:rPr>
              <w:t>说明</w:t>
            </w:r>
          </w:p>
        </w:tc>
      </w:tr>
      <w:tr>
        <w:tblPrEx>
          <w:tblW w:w="9164" w:type="dxa"/>
          <w:tblInd w:w="108" w:type="dxa"/>
          <w:tblLayout w:type="fixed"/>
          <w:tblCellMar>
            <w:top w:w="0" w:type="dxa"/>
            <w:left w:w="108" w:type="dxa"/>
            <w:bottom w:w="0" w:type="dxa"/>
            <w:right w:w="108" w:type="dxa"/>
          </w:tblCellMar>
        </w:tblPrEx>
        <w:trPr>
          <w:trHeight w:val="261"/>
        </w:trPr>
        <w:tc>
          <w:tcPr>
            <w:tcW w:w="851" w:type="dxa"/>
          </w:tcPr>
          <w:p>
            <w:pPr>
              <w:rPr>
                <w:sz w:val="24"/>
              </w:rPr>
            </w:pPr>
          </w:p>
        </w:tc>
        <w:tc>
          <w:tcPr>
            <w:tcW w:w="2410" w:type="dxa"/>
          </w:tcPr>
          <w:p>
            <w:pPr>
              <w:rPr>
                <w:sz w:val="24"/>
              </w:rPr>
            </w:pPr>
          </w:p>
        </w:tc>
        <w:tc>
          <w:tcPr>
            <w:tcW w:w="2551" w:type="dxa"/>
          </w:tcPr>
          <w:p>
            <w:pPr>
              <w:rPr>
                <w:sz w:val="24"/>
              </w:rPr>
            </w:pPr>
          </w:p>
        </w:tc>
        <w:tc>
          <w:tcPr>
            <w:tcW w:w="1344" w:type="dxa"/>
          </w:tcPr>
          <w:p>
            <w:pPr>
              <w:rPr>
                <w:sz w:val="24"/>
              </w:rPr>
            </w:pPr>
          </w:p>
        </w:tc>
        <w:tc>
          <w:tcPr>
            <w:tcW w:w="2008" w:type="dxa"/>
          </w:tcPr>
          <w:p>
            <w:pPr>
              <w:rPr>
                <w:sz w:val="24"/>
              </w:rPr>
            </w:pPr>
            <w:r>
              <w:rPr>
                <w:rFonts w:hint="eastAsia"/>
                <w:szCs w:val="21"/>
              </w:rPr>
              <w:t>如需附证明文件，应在“说明”栏填写证明文件对应名称和页码。</w:t>
            </w:r>
          </w:p>
        </w:tc>
      </w:tr>
      <w:tr>
        <w:tblPrEx>
          <w:tblW w:w="9164" w:type="dxa"/>
          <w:tblInd w:w="108" w:type="dxa"/>
          <w:tblLayout w:type="fixed"/>
          <w:tblCellMar>
            <w:top w:w="0" w:type="dxa"/>
            <w:left w:w="108" w:type="dxa"/>
            <w:bottom w:w="0" w:type="dxa"/>
            <w:right w:w="108" w:type="dxa"/>
          </w:tblCellMar>
        </w:tblPrEx>
        <w:trPr>
          <w:trHeight w:val="275"/>
        </w:trPr>
        <w:tc>
          <w:tcPr>
            <w:tcW w:w="851" w:type="dxa"/>
          </w:tcPr>
          <w:p>
            <w:pPr>
              <w:rPr>
                <w:sz w:val="24"/>
              </w:rPr>
            </w:pPr>
          </w:p>
        </w:tc>
        <w:tc>
          <w:tcPr>
            <w:tcW w:w="2410" w:type="dxa"/>
          </w:tcPr>
          <w:p>
            <w:pPr>
              <w:rPr>
                <w:sz w:val="24"/>
              </w:rPr>
            </w:pPr>
          </w:p>
        </w:tc>
        <w:tc>
          <w:tcPr>
            <w:tcW w:w="2551" w:type="dxa"/>
          </w:tcPr>
          <w:p>
            <w:pPr>
              <w:rPr>
                <w:sz w:val="24"/>
              </w:rPr>
            </w:pPr>
          </w:p>
        </w:tc>
        <w:tc>
          <w:tcPr>
            <w:tcW w:w="1344" w:type="dxa"/>
          </w:tcPr>
          <w:p>
            <w:pPr>
              <w:rPr>
                <w:sz w:val="24"/>
              </w:rPr>
            </w:pPr>
          </w:p>
        </w:tc>
        <w:tc>
          <w:tcPr>
            <w:tcW w:w="2008" w:type="dxa"/>
          </w:tcPr>
          <w:p>
            <w:pPr>
              <w:rPr>
                <w:sz w:val="24"/>
              </w:rPr>
            </w:pPr>
          </w:p>
        </w:tc>
      </w:tr>
    </w:tbl>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备注：</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1、“招标文件商务服务要求”一栏填写招标文件第二章“招标项目需求”</w:t>
      </w:r>
      <w:r>
        <w:rPr>
          <w:rFonts w:asciiTheme="minorEastAsia" w:eastAsiaTheme="minorEastAsia" w:hAnsiTheme="minorEastAsia" w:hint="eastAsia"/>
          <w:b/>
          <w:bCs/>
          <w:kern w:val="0"/>
          <w:szCs w:val="21"/>
          <w:highlight w:val="yellow"/>
        </w:rPr>
        <w:t>“五、项目商务要求”</w:t>
      </w:r>
      <w:r>
        <w:rPr>
          <w:rFonts w:asciiTheme="minorEastAsia" w:eastAsiaTheme="minorEastAsia" w:hAnsiTheme="minorEastAsia" w:hint="eastAsia"/>
          <w:bCs/>
          <w:kern w:val="0"/>
          <w:szCs w:val="21"/>
        </w:rPr>
        <w:t>的内容</w:t>
      </w:r>
      <w:r>
        <w:rPr>
          <w:rFonts w:asciiTheme="minorEastAsia" w:eastAsiaTheme="minorEastAsia" w:hAnsiTheme="minorEastAsia"/>
          <w:bCs/>
          <w:kern w:val="0"/>
          <w:szCs w:val="21"/>
        </w:rPr>
        <w:t>。</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2、“投标文件商务响应”一栏详细填写投标商务条款的内容</w:t>
      </w:r>
      <w:r>
        <w:rPr>
          <w:rFonts w:asciiTheme="minorEastAsia" w:eastAsiaTheme="minorEastAsia" w:hAnsiTheme="minorEastAsia"/>
          <w:bCs/>
          <w:kern w:val="0"/>
          <w:szCs w:val="21"/>
        </w:rPr>
        <w:t>。</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3、“偏离情况”栏中应如实填写“正偏离”、“负偏离”或“无偏离”</w:t>
      </w:r>
      <w:r>
        <w:rPr>
          <w:rFonts w:asciiTheme="minorEastAsia" w:eastAsiaTheme="minorEastAsia" w:hAnsiTheme="minorEastAsia"/>
          <w:bCs/>
          <w:kern w:val="0"/>
          <w:szCs w:val="21"/>
        </w:rPr>
        <w:t>。</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4、对于实质性条款，投标文件响应为“负偏离”的，投标文件将作投标无效处理</w:t>
      </w:r>
      <w:r>
        <w:rPr>
          <w:rFonts w:asciiTheme="minorEastAsia" w:eastAsiaTheme="minorEastAsia" w:hAnsiTheme="minorEastAsia"/>
          <w:bCs/>
          <w:kern w:val="0"/>
          <w:szCs w:val="21"/>
        </w:rPr>
        <w:t>。</w:t>
      </w:r>
    </w:p>
    <w:p>
      <w:pPr>
        <w:keepNext/>
        <w:keepLines/>
        <w:tabs>
          <w:tab w:val="left" w:pos="765"/>
        </w:tabs>
        <w:spacing w:line="376" w:lineRule="auto"/>
        <w:outlineLvl w:val="3"/>
        <w:rPr>
          <w:rFonts w:asciiTheme="minorEastAsia" w:eastAsiaTheme="minorEastAsia" w:hAnsiTheme="minorEastAsia"/>
          <w:bCs/>
          <w:kern w:val="0"/>
          <w:szCs w:val="21"/>
        </w:rPr>
      </w:pPr>
      <w:r>
        <w:rPr>
          <w:rFonts w:asciiTheme="minorEastAsia" w:eastAsiaTheme="minorEastAsia" w:hAnsiTheme="minorEastAsia" w:hint="eastAsia"/>
          <w:bCs/>
          <w:kern w:val="0"/>
          <w:szCs w:val="21"/>
        </w:rPr>
        <w:t>5、如招标文件要求提供证明材料的，投标文件需提供相应证明材料扫描件（原件备查）并注明证明材料在投标文件中的具体位置，未按要求提供证明材料或未注明证明材料的具体位置或提供的证明资料显示不符合招标文件要求、模糊不清无法判断或未显示是否满足招标文件要求的，均视为负偏离。</w:t>
      </w:r>
    </w:p>
    <w:p>
      <w:pPr>
        <w:spacing w:after="156" w:afterLines="50"/>
        <w:jc w:val="center"/>
        <w:rPr>
          <w:rFonts w:ascii="黑体" w:eastAsia="黑体" w:hAnsi="宋体" w:hint="eastAsia"/>
          <w:bCs/>
          <w:kern w:val="0"/>
          <w:sz w:val="24"/>
          <w:szCs w:val="24"/>
        </w:rPr>
      </w:pPr>
      <w:r>
        <w:rPr>
          <w:rFonts w:ascii="黑体" w:eastAsia="黑体" w:hAnsi="宋体" w:hint="eastAsia"/>
          <w:bCs/>
          <w:kern w:val="0"/>
          <w:sz w:val="24"/>
          <w:szCs w:val="24"/>
          <w:lang w:val="en-US" w:eastAsia="zh-CN"/>
        </w:rPr>
        <w:t>十二、</w:t>
      </w:r>
      <w:r>
        <w:rPr>
          <w:rFonts w:ascii="黑体" w:eastAsia="黑体" w:hAnsi="宋体" w:hint="eastAsia"/>
          <w:bCs/>
          <w:kern w:val="0"/>
          <w:sz w:val="24"/>
          <w:szCs w:val="24"/>
        </w:rPr>
        <w:t>实施方案情况（格式自定）</w:t>
      </w:r>
    </w:p>
    <w:p>
      <w:pPr>
        <w:spacing w:after="156" w:afterLines="50"/>
        <w:jc w:val="center"/>
        <w:rPr>
          <w:rFonts w:ascii="黑体" w:eastAsia="黑体" w:hAnsi="宋体" w:hint="eastAsia"/>
          <w:bCs/>
          <w:kern w:val="0"/>
          <w:sz w:val="24"/>
          <w:szCs w:val="24"/>
        </w:rPr>
      </w:pPr>
      <w:r>
        <w:rPr>
          <w:rFonts w:ascii="黑体" w:eastAsia="黑体" w:hAnsi="宋体" w:hint="eastAsia"/>
          <w:bCs/>
          <w:kern w:val="0"/>
          <w:sz w:val="24"/>
          <w:szCs w:val="24"/>
          <w:lang w:val="en-US" w:eastAsia="zh-CN"/>
        </w:rPr>
        <w:t>十三、</w:t>
      </w:r>
      <w:r>
        <w:rPr>
          <w:rFonts w:ascii="黑体" w:eastAsia="黑体" w:hAnsi="宋体" w:hint="eastAsia"/>
          <w:bCs/>
          <w:kern w:val="0"/>
          <w:sz w:val="24"/>
          <w:szCs w:val="24"/>
        </w:rPr>
        <w:t>质量保障措施（格式自定）</w:t>
      </w:r>
    </w:p>
    <w:p>
      <w:pPr>
        <w:spacing w:after="156" w:afterLines="50"/>
        <w:jc w:val="center"/>
        <w:rPr>
          <w:rFonts w:ascii="黑体" w:eastAsia="黑体" w:hAnsi="宋体" w:hint="eastAsia"/>
          <w:bCs/>
          <w:kern w:val="0"/>
          <w:sz w:val="24"/>
          <w:szCs w:val="24"/>
        </w:rPr>
      </w:pPr>
      <w:r>
        <w:rPr>
          <w:rFonts w:ascii="黑体" w:eastAsia="黑体" w:hAnsi="宋体" w:hint="eastAsia"/>
          <w:bCs/>
          <w:kern w:val="0"/>
          <w:sz w:val="24"/>
          <w:szCs w:val="24"/>
          <w:lang w:val="en-US" w:eastAsia="zh-CN"/>
        </w:rPr>
        <w:t>十四、项目完成（服务期满）后的服务承诺</w:t>
      </w:r>
      <w:r>
        <w:rPr>
          <w:rFonts w:ascii="黑体" w:eastAsia="黑体" w:hAnsi="宋体" w:hint="eastAsia"/>
          <w:bCs/>
          <w:kern w:val="0"/>
          <w:sz w:val="24"/>
          <w:szCs w:val="24"/>
        </w:rPr>
        <w:t>（格式自定）</w:t>
      </w:r>
    </w:p>
    <w:p>
      <w:pPr>
        <w:spacing w:after="156" w:afterLines="50"/>
        <w:jc w:val="center"/>
        <w:rPr>
          <w:rFonts w:ascii="黑体" w:eastAsia="黑体" w:hAnsi="宋体" w:hint="eastAsia"/>
          <w:bCs/>
          <w:kern w:val="0"/>
          <w:sz w:val="24"/>
          <w:szCs w:val="24"/>
        </w:rPr>
      </w:pPr>
      <w:r>
        <w:rPr>
          <w:rFonts w:ascii="黑体" w:eastAsia="黑体" w:hAnsi="宋体" w:hint="eastAsia"/>
          <w:bCs/>
          <w:kern w:val="0"/>
          <w:sz w:val="24"/>
          <w:szCs w:val="24"/>
          <w:lang w:val="en-US" w:eastAsia="zh-CN"/>
        </w:rPr>
        <w:t>十五、</w:t>
      </w:r>
      <w:r>
        <w:rPr>
          <w:rFonts w:ascii="黑体" w:eastAsia="黑体" w:hAnsi="宋体" w:hint="eastAsia"/>
          <w:bCs/>
          <w:kern w:val="0"/>
          <w:sz w:val="24"/>
          <w:szCs w:val="24"/>
        </w:rPr>
        <w:t>投标人运维实力和为本项目提供服务的系统具备的信息安全等级（格式自定）</w:t>
      </w:r>
    </w:p>
    <w:p>
      <w:pPr>
        <w:spacing w:after="156" w:afterLines="50"/>
        <w:jc w:val="center"/>
        <w:rPr>
          <w:rFonts w:ascii="黑体" w:eastAsia="黑体" w:hAnsi="宋体" w:hint="eastAsia"/>
          <w:bCs/>
          <w:kern w:val="0"/>
          <w:sz w:val="24"/>
          <w:szCs w:val="24"/>
        </w:rPr>
      </w:pPr>
      <w:r>
        <w:rPr>
          <w:rFonts w:ascii="黑体" w:eastAsia="黑体" w:hAnsi="宋体" w:hint="eastAsia"/>
          <w:bCs/>
          <w:kern w:val="0"/>
          <w:sz w:val="24"/>
          <w:szCs w:val="24"/>
          <w:lang w:val="en-US" w:eastAsia="zh-CN"/>
        </w:rPr>
        <w:t>十六、</w:t>
      </w:r>
      <w:r>
        <w:rPr>
          <w:rFonts w:ascii="黑体" w:eastAsia="黑体" w:hAnsi="宋体" w:hint="eastAsia"/>
          <w:bCs/>
          <w:kern w:val="0"/>
          <w:sz w:val="24"/>
          <w:szCs w:val="24"/>
        </w:rPr>
        <w:t>拟安排的项目负责人情况（仅限一人）（格式自定）</w:t>
      </w:r>
    </w:p>
    <w:p>
      <w:pPr>
        <w:spacing w:after="156" w:afterLines="50"/>
        <w:jc w:val="center"/>
        <w:rPr>
          <w:rFonts w:ascii="黑体" w:eastAsia="黑体" w:hAnsi="宋体" w:hint="eastAsia"/>
          <w:bCs/>
          <w:kern w:val="0"/>
          <w:sz w:val="24"/>
          <w:szCs w:val="24"/>
        </w:rPr>
      </w:pPr>
      <w:r>
        <w:rPr>
          <w:rFonts w:ascii="黑体" w:eastAsia="黑体" w:hAnsi="宋体" w:hint="eastAsia"/>
          <w:bCs/>
          <w:kern w:val="0"/>
          <w:sz w:val="24"/>
          <w:szCs w:val="24"/>
          <w:lang w:val="en-US" w:eastAsia="zh-CN"/>
        </w:rPr>
        <w:t>十七、</w:t>
      </w:r>
      <w:r>
        <w:rPr>
          <w:rFonts w:ascii="黑体" w:eastAsia="黑体" w:hAnsi="宋体" w:hint="eastAsia"/>
          <w:bCs/>
          <w:kern w:val="0"/>
          <w:sz w:val="24"/>
          <w:szCs w:val="24"/>
        </w:rPr>
        <w:t>拟安排的项目主要团队成员（主要技术人员）情况（项目负责人除外）（格式自定）</w:t>
      </w:r>
    </w:p>
    <w:p>
      <w:pPr>
        <w:spacing w:after="156" w:afterLines="50"/>
        <w:jc w:val="center"/>
        <w:rPr>
          <w:rFonts w:ascii="黑体" w:eastAsia="黑体" w:hAnsi="宋体" w:hint="eastAsia"/>
          <w:bCs/>
          <w:kern w:val="0"/>
          <w:sz w:val="24"/>
          <w:szCs w:val="24"/>
        </w:rPr>
      </w:pPr>
      <w:r>
        <w:rPr>
          <w:rFonts w:ascii="黑体" w:eastAsia="黑体" w:hAnsi="宋体" w:hint="eastAsia"/>
          <w:bCs/>
          <w:kern w:val="0"/>
          <w:sz w:val="24"/>
          <w:szCs w:val="24"/>
          <w:lang w:val="en-US" w:eastAsia="zh-CN"/>
        </w:rPr>
        <w:t>十八、</w:t>
      </w:r>
      <w:r>
        <w:rPr>
          <w:rFonts w:ascii="黑体" w:eastAsia="黑体" w:hAnsi="宋体" w:hint="eastAsia"/>
          <w:bCs/>
          <w:kern w:val="0"/>
          <w:sz w:val="24"/>
          <w:szCs w:val="24"/>
        </w:rPr>
        <w:t>投标人认证情况（格式自定）</w:t>
      </w:r>
    </w:p>
    <w:p>
      <w:pPr>
        <w:spacing w:after="156" w:afterLines="50"/>
        <w:jc w:val="center"/>
        <w:rPr>
          <w:rFonts w:ascii="黑体" w:eastAsia="黑体" w:hAnsi="宋体"/>
          <w:bCs/>
          <w:kern w:val="0"/>
          <w:sz w:val="24"/>
          <w:szCs w:val="24"/>
        </w:rPr>
      </w:pPr>
      <w:r>
        <w:rPr>
          <w:rFonts w:ascii="黑体" w:eastAsia="黑体" w:hAnsi="宋体" w:hint="eastAsia"/>
          <w:bCs/>
          <w:kern w:val="0"/>
          <w:sz w:val="24"/>
          <w:szCs w:val="24"/>
        </w:rPr>
        <w:t>十</w:t>
      </w:r>
      <w:r>
        <w:rPr>
          <w:rFonts w:ascii="黑体" w:eastAsia="黑体" w:hint="eastAsia"/>
          <w:bCs/>
          <w:sz w:val="24"/>
          <w:szCs w:val="24"/>
          <w:lang w:val="en-US" w:eastAsia="zh-CN"/>
        </w:rPr>
        <w:t>九</w:t>
      </w:r>
      <w:r>
        <w:rPr>
          <w:rFonts w:ascii="黑体" w:eastAsia="黑体" w:hAnsi="宋体" w:hint="eastAsia"/>
          <w:bCs/>
          <w:kern w:val="0"/>
          <w:sz w:val="24"/>
          <w:szCs w:val="24"/>
        </w:rPr>
        <w:t>、同类项目业绩（格式自定）</w:t>
      </w:r>
    </w:p>
    <w:p>
      <w:pPr>
        <w:jc w:val="center"/>
        <w:rPr>
          <w:rFonts w:ascii="宋体" w:hAnsi="宋体"/>
          <w:b/>
          <w:bCs/>
          <w:kern w:val="0"/>
          <w:sz w:val="24"/>
          <w:szCs w:val="20"/>
        </w:rPr>
      </w:pPr>
      <w:r>
        <w:rPr>
          <w:rFonts w:ascii="黑体" w:eastAsia="黑体" w:hAnsi="宋体" w:hint="eastAsia"/>
          <w:bCs/>
          <w:kern w:val="0"/>
          <w:sz w:val="24"/>
          <w:szCs w:val="24"/>
          <w:lang w:val="en-US" w:eastAsia="zh-CN"/>
        </w:rPr>
        <w:t>二十、</w:t>
      </w:r>
      <w:r>
        <w:rPr>
          <w:rFonts w:ascii="黑体" w:eastAsia="黑体" w:hAnsi="宋体" w:hint="eastAsia"/>
          <w:bCs/>
          <w:kern w:val="0"/>
          <w:sz w:val="24"/>
          <w:szCs w:val="24"/>
        </w:rPr>
        <w:t>招标文件要求的其它内容或投标人认为需要补充的资料（格式自定）</w:t>
      </w:r>
      <w:r>
        <w:rPr>
          <w:rFonts w:ascii="宋体" w:hAnsi="宋体"/>
          <w:b/>
          <w:bCs/>
          <w:kern w:val="0"/>
          <w:sz w:val="24"/>
          <w:szCs w:val="20"/>
        </w:rPr>
        <w:br w:type="page"/>
      </w:r>
    </w:p>
    <w:p>
      <w:pPr>
        <w:jc w:val="center"/>
        <w:rPr>
          <w:rFonts w:ascii="宋体" w:hAnsi="宋体"/>
          <w:b/>
          <w:bCs/>
          <w:kern w:val="0"/>
          <w:sz w:val="24"/>
          <w:szCs w:val="20"/>
        </w:rPr>
      </w:pPr>
      <w:r>
        <w:rPr>
          <w:rFonts w:ascii="宋体" w:hAnsi="宋体" w:hint="eastAsia"/>
          <w:b/>
          <w:bCs/>
          <w:kern w:val="0"/>
          <w:sz w:val="24"/>
          <w:szCs w:val="20"/>
        </w:rPr>
        <w:t>第四章  合同及履约情况反馈格式</w:t>
      </w:r>
    </w:p>
    <w:p>
      <w:pPr>
        <w:ind w:firstLine="412" w:firstLineChars="196"/>
        <w:rPr>
          <w:rFonts w:ascii="Times New Roman" w:hAnsi="Times New Roman"/>
          <w:szCs w:val="24"/>
        </w:rPr>
      </w:pPr>
    </w:p>
    <w:p>
      <w:pPr>
        <w:keepNext/>
        <w:keepLines/>
        <w:spacing w:before="260" w:after="260"/>
        <w:jc w:val="center"/>
        <w:outlineLvl w:val="2"/>
        <w:rPr>
          <w:rFonts w:ascii="黑体" w:eastAsia="黑体" w:hAnsi="宋体"/>
          <w:bCs/>
          <w:kern w:val="0"/>
          <w:sz w:val="24"/>
          <w:szCs w:val="24"/>
        </w:rPr>
      </w:pPr>
      <w:r>
        <w:rPr>
          <w:rFonts w:ascii="黑体" w:eastAsia="黑体" w:hAnsi="宋体" w:hint="eastAsia"/>
          <w:bCs/>
          <w:kern w:val="0"/>
          <w:sz w:val="24"/>
          <w:szCs w:val="24"/>
        </w:rPr>
        <w:t>一、合同条款及格式（</w:t>
      </w:r>
      <w:r>
        <w:rPr>
          <w:rFonts w:ascii="黑体" w:eastAsia="黑体" w:hint="eastAsia"/>
          <w:kern w:val="0"/>
          <w:sz w:val="24"/>
          <w:szCs w:val="24"/>
        </w:rPr>
        <w:t>仅供参考</w:t>
      </w:r>
      <w:r>
        <w:rPr>
          <w:rFonts w:ascii="黑体" w:eastAsia="黑体" w:hAnsi="宋体" w:hint="eastAsia"/>
          <w:bCs/>
          <w:kern w:val="0"/>
          <w:sz w:val="24"/>
          <w:szCs w:val="24"/>
        </w:rPr>
        <w:t>）</w:t>
      </w:r>
    </w:p>
    <w:p>
      <w:pPr>
        <w:ind w:firstLine="412" w:firstLineChars="196"/>
        <w:jc w:val="center"/>
        <w:rPr>
          <w:rFonts w:ascii="Times New Roman" w:hAnsi="Times New Roman"/>
          <w:sz w:val="24"/>
          <w:szCs w:val="24"/>
        </w:rPr>
      </w:pPr>
      <w:bookmarkStart w:id="12" w:name="_Toc73521680"/>
      <w:bookmarkStart w:id="13" w:name="_Toc84303603"/>
      <w:bookmarkStart w:id="14" w:name="_Toc100052414"/>
      <w:bookmarkStart w:id="15" w:name="_Toc73517685"/>
      <w:bookmarkStart w:id="16" w:name="_Toc73518163"/>
      <w:bookmarkStart w:id="17" w:name="_Toc101074886"/>
      <w:bookmarkStart w:id="18" w:name="_Toc73521592"/>
    </w:p>
    <w:p>
      <w:pPr>
        <w:ind w:firstLine="412" w:firstLineChars="196"/>
        <w:jc w:val="center"/>
        <w:rPr>
          <w:rFonts w:ascii="Times New Roman" w:hAnsi="Times New Roman"/>
          <w:sz w:val="24"/>
          <w:szCs w:val="24"/>
        </w:rPr>
      </w:pPr>
    </w:p>
    <w:p>
      <w:pPr>
        <w:adjustRightInd w:val="0"/>
        <w:snapToGrid w:val="0"/>
        <w:spacing w:after="60" w:line="360" w:lineRule="auto"/>
        <w:jc w:val="center"/>
        <w:rPr>
          <w:b/>
          <w:snapToGrid w:val="0"/>
          <w:kern w:val="0"/>
          <w:sz w:val="24"/>
        </w:rPr>
      </w:pPr>
      <w:bookmarkEnd w:id="12"/>
      <w:bookmarkEnd w:id="13"/>
      <w:bookmarkEnd w:id="14"/>
      <w:bookmarkEnd w:id="15"/>
      <w:bookmarkEnd w:id="16"/>
      <w:bookmarkEnd w:id="17"/>
      <w:bookmarkEnd w:id="18"/>
      <w:r>
        <w:rPr>
          <w:rFonts w:hint="eastAsia"/>
          <w:b/>
          <w:snapToGrid w:val="0"/>
          <w:kern w:val="0"/>
          <w:sz w:val="24"/>
        </w:rPr>
        <w:t>（拟签订的合同文本）</w:t>
      </w:r>
    </w:p>
    <w:p>
      <w:pPr>
        <w:pStyle w:val="PlainText"/>
        <w:spacing w:line="360" w:lineRule="auto"/>
        <w:ind w:firstLine="420" w:firstLineChars="200"/>
        <w:rPr>
          <w:rFonts w:ascii="Times New Roman" w:hAnsi="Times New Roman"/>
          <w:b/>
          <w:sz w:val="24"/>
        </w:rPr>
      </w:pPr>
      <w:r>
        <w:rPr>
          <w:rFonts w:ascii="Times New Roman" w:hAnsi="Times New Roman" w:hint="eastAsia"/>
          <w:b/>
          <w:sz w:val="24"/>
        </w:rPr>
        <w:t>重要说明：采购人在签订合同前有权依据招标文件要求和项目实际情况对以下合同内容进行删改或补充。</w:t>
      </w:r>
    </w:p>
    <w:p>
      <w:pPr>
        <w:adjustRightInd w:val="0"/>
        <w:snapToGrid w:val="0"/>
        <w:spacing w:line="360" w:lineRule="auto"/>
        <w:ind w:firstLine="420" w:firstLineChars="200"/>
        <w:rPr>
          <w:rFonts w:ascii="宋体" w:hAnsi="宋体"/>
          <w:b/>
          <w:bCs/>
          <w:szCs w:val="21"/>
        </w:rPr>
      </w:pPr>
    </w:p>
    <w:p>
      <w:pPr>
        <w:adjustRightInd w:val="0"/>
        <w:snapToGrid w:val="0"/>
        <w:spacing w:line="360" w:lineRule="auto"/>
        <w:ind w:firstLine="420" w:firstLineChars="200"/>
        <w:rPr>
          <w:rFonts w:ascii="宋体" w:hAnsi="宋体"/>
          <w:b/>
          <w:bCs/>
          <w:szCs w:val="21"/>
        </w:rPr>
      </w:pPr>
      <w:r>
        <w:rPr>
          <w:rFonts w:ascii="宋体" w:hAnsi="宋体" w:hint="eastAsia"/>
          <w:b/>
          <w:bCs/>
          <w:szCs w:val="21"/>
        </w:rPr>
        <w:t xml:space="preserve">采购人（甲方）：   </w:t>
      </w:r>
    </w:p>
    <w:p>
      <w:pPr>
        <w:adjustRightInd w:val="0"/>
        <w:snapToGrid w:val="0"/>
        <w:spacing w:line="360" w:lineRule="auto"/>
        <w:ind w:firstLine="420" w:firstLineChars="200"/>
        <w:rPr>
          <w:rFonts w:ascii="宋体" w:hAnsi="宋体"/>
          <w:b/>
          <w:bCs/>
          <w:szCs w:val="21"/>
        </w:rPr>
      </w:pPr>
      <w:r>
        <w:rPr>
          <w:rFonts w:ascii="宋体" w:hAnsi="宋体" w:hint="eastAsia"/>
          <w:b/>
          <w:bCs/>
          <w:szCs w:val="21"/>
        </w:rPr>
        <w:t xml:space="preserve">中标人（乙方）：                                       </w:t>
      </w:r>
    </w:p>
    <w:p>
      <w:pPr>
        <w:adjustRightInd w:val="0"/>
        <w:snapToGrid w:val="0"/>
        <w:spacing w:line="360" w:lineRule="auto"/>
        <w:rPr>
          <w:rFonts w:ascii="宋体" w:hAnsi="宋体"/>
          <w:szCs w:val="21"/>
        </w:rPr>
      </w:pPr>
    </w:p>
    <w:p>
      <w:pPr>
        <w:snapToGrid w:val="0"/>
        <w:spacing w:line="360" w:lineRule="auto"/>
        <w:ind w:firstLine="420" w:firstLineChars="200"/>
        <w:rPr>
          <w:rFonts w:ascii="宋体" w:hAnsi="宋体"/>
          <w:szCs w:val="21"/>
        </w:rPr>
      </w:pPr>
      <w:r>
        <w:rPr>
          <w:rFonts w:ascii="宋体" w:hAnsi="宋体" w:hint="eastAsia"/>
          <w:szCs w:val="21"/>
        </w:rPr>
        <w:t>根据</w:t>
      </w:r>
      <w:r>
        <w:rPr>
          <w:rFonts w:ascii="宋体" w:hAnsi="宋体" w:hint="eastAsia"/>
          <w:szCs w:val="21"/>
          <w:u w:val="single"/>
        </w:rPr>
        <w:t xml:space="preserve">                </w:t>
      </w:r>
      <w:r>
        <w:rPr>
          <w:rFonts w:ascii="宋体" w:hAnsi="宋体" w:hint="eastAsia"/>
          <w:szCs w:val="21"/>
        </w:rPr>
        <w:t>招标项目（项目编号__________________）的中标结果，由_______________________单位为中标人。</w:t>
      </w:r>
      <w:r>
        <w:rPr>
          <w:rFonts w:asciiTheme="minorEastAsia" w:hAnsiTheme="minorEastAsia" w:hint="eastAsia"/>
          <w:szCs w:val="21"/>
        </w:rPr>
        <w:t>根据《中华人民共和国政府采购法》、《深圳经济特区政府采购条例》、《中华人民共和国民法典》之规定</w:t>
      </w:r>
      <w:r>
        <w:rPr>
          <w:rFonts w:ascii="宋体" w:hAnsi="宋体" w:hint="eastAsia"/>
          <w:szCs w:val="21"/>
        </w:rPr>
        <w:t>，经_______________________（以下简称采购人）和_______________________（以下简称中标人）协商，就_______________________</w:t>
      </w:r>
      <w:r>
        <w:rPr>
          <w:rFonts w:ascii="宋体" w:hAnsi="宋体" w:hint="eastAsia"/>
          <w:bCs/>
          <w:snapToGrid w:val="0"/>
          <w:kern w:val="0"/>
          <w:szCs w:val="21"/>
          <w:lang w:val="zh-CN"/>
        </w:rPr>
        <w:t>项目</w:t>
      </w:r>
      <w:r>
        <w:rPr>
          <w:rFonts w:ascii="宋体" w:hAnsi="宋体" w:hint="eastAsia"/>
          <w:szCs w:val="21"/>
        </w:rPr>
        <w:t>，达成以下合同条款：</w:t>
      </w:r>
    </w:p>
    <w:p>
      <w:pPr>
        <w:pStyle w:val="PlainText"/>
        <w:snapToGrid w:val="0"/>
        <w:spacing w:line="360" w:lineRule="auto"/>
        <w:ind w:firstLine="420" w:firstLineChars="200"/>
        <w:rPr>
          <w:rFonts w:hAnsi="宋体"/>
          <w:b/>
          <w:sz w:val="21"/>
          <w:szCs w:val="21"/>
        </w:rPr>
      </w:pPr>
      <w:r>
        <w:rPr>
          <w:rFonts w:hAnsi="宋体" w:hint="eastAsia"/>
          <w:b/>
          <w:sz w:val="21"/>
          <w:szCs w:val="21"/>
        </w:rPr>
        <w:t>一、服务内容</w:t>
      </w:r>
    </w:p>
    <w:p>
      <w:pPr>
        <w:spacing w:line="360" w:lineRule="auto"/>
        <w:ind w:firstLine="422" w:firstLineChars="201"/>
        <w:rPr>
          <w:rFonts w:ascii="宋体" w:hAnsi="宋体"/>
          <w:szCs w:val="21"/>
        </w:rPr>
      </w:pPr>
      <w:r>
        <w:rPr>
          <w:rFonts w:ascii="宋体" w:hAnsi="宋体" w:hint="eastAsia"/>
          <w:szCs w:val="21"/>
        </w:rPr>
        <w:t>______________________</w:t>
      </w:r>
    </w:p>
    <w:p>
      <w:pPr>
        <w:pStyle w:val="PlainText"/>
        <w:snapToGrid w:val="0"/>
        <w:spacing w:line="360" w:lineRule="auto"/>
        <w:ind w:firstLine="420" w:firstLineChars="200"/>
        <w:rPr>
          <w:rFonts w:hAnsi="宋体"/>
          <w:b/>
          <w:sz w:val="21"/>
          <w:szCs w:val="21"/>
        </w:rPr>
      </w:pPr>
      <w:r>
        <w:rPr>
          <w:rFonts w:hAnsi="宋体" w:hint="eastAsia"/>
          <w:b/>
          <w:sz w:val="21"/>
          <w:szCs w:val="21"/>
        </w:rPr>
        <w:t>二、合同金额</w:t>
      </w:r>
    </w:p>
    <w:p>
      <w:pPr>
        <w:pStyle w:val="PlainText"/>
        <w:snapToGrid w:val="0"/>
        <w:spacing w:line="360" w:lineRule="auto"/>
        <w:ind w:firstLine="420" w:firstLineChars="200"/>
        <w:rPr>
          <w:rFonts w:hAnsi="宋体"/>
          <w:sz w:val="21"/>
          <w:szCs w:val="21"/>
        </w:rPr>
      </w:pPr>
      <w:r>
        <w:rPr>
          <w:rFonts w:hAnsi="宋体" w:hint="eastAsia"/>
          <w:sz w:val="21"/>
          <w:szCs w:val="21"/>
        </w:rPr>
        <w:t>本合同金额为（大写）：____________________________________元（￥_______________元）人民币。</w:t>
      </w:r>
    </w:p>
    <w:p>
      <w:pPr>
        <w:pStyle w:val="PlainText"/>
        <w:snapToGrid w:val="0"/>
        <w:spacing w:line="360" w:lineRule="auto"/>
        <w:ind w:firstLine="420" w:firstLineChars="200"/>
        <w:rPr>
          <w:rFonts w:hAnsi="宋体"/>
          <w:b/>
          <w:sz w:val="21"/>
          <w:szCs w:val="21"/>
        </w:rPr>
      </w:pPr>
      <w:r>
        <w:rPr>
          <w:rFonts w:hAnsi="宋体" w:hint="eastAsia"/>
          <w:b/>
          <w:sz w:val="21"/>
          <w:szCs w:val="21"/>
        </w:rPr>
        <w:t>三、技术资料</w:t>
      </w:r>
    </w:p>
    <w:p>
      <w:pPr>
        <w:pStyle w:val="PlainText"/>
        <w:snapToGrid w:val="0"/>
        <w:spacing w:line="360" w:lineRule="auto"/>
        <w:ind w:firstLine="420" w:firstLineChars="200"/>
        <w:rPr>
          <w:rFonts w:hAnsi="宋体"/>
          <w:sz w:val="21"/>
          <w:szCs w:val="21"/>
        </w:rPr>
      </w:pPr>
      <w:r>
        <w:rPr>
          <w:rFonts w:hAnsi="宋体" w:hint="eastAsia"/>
          <w:sz w:val="21"/>
          <w:szCs w:val="21"/>
        </w:rPr>
        <w:t>1、中标人应按招标文件规定的时间向采购人提供有关技术资料。</w:t>
      </w:r>
    </w:p>
    <w:p>
      <w:pPr>
        <w:pStyle w:val="PlainText"/>
        <w:snapToGrid w:val="0"/>
        <w:spacing w:line="360" w:lineRule="auto"/>
        <w:ind w:firstLine="420" w:firstLineChars="200"/>
        <w:rPr>
          <w:rFonts w:hAnsi="宋体"/>
          <w:sz w:val="21"/>
          <w:szCs w:val="21"/>
        </w:rPr>
      </w:pPr>
      <w:r>
        <w:rPr>
          <w:rFonts w:hAnsi="宋体" w:hint="eastAsia"/>
          <w:sz w:val="21"/>
          <w:szCs w:val="21"/>
        </w:rPr>
        <w:t>2、没有采购人事先书面同意，中标人不得将由采购人提供的有关合同或任何合同条文、项目资料提供给与履行本合同无关的任何其他人。即使向履行本合同有关的人员提供，也应注意保密并限于履行合同的必需范围。</w:t>
      </w:r>
    </w:p>
    <w:p>
      <w:pPr>
        <w:pStyle w:val="PlainText"/>
        <w:snapToGrid w:val="0"/>
        <w:spacing w:line="360" w:lineRule="auto"/>
        <w:ind w:firstLine="420" w:firstLineChars="200"/>
        <w:rPr>
          <w:rFonts w:hAnsi="宋体"/>
          <w:sz w:val="21"/>
          <w:szCs w:val="21"/>
        </w:rPr>
      </w:pPr>
      <w:r>
        <w:rPr>
          <w:rFonts w:hAnsi="宋体" w:hint="eastAsia"/>
          <w:sz w:val="21"/>
          <w:szCs w:val="21"/>
        </w:rPr>
        <w:t>3、合同履行完毕，未经采购人的书面同意，中标人不得保存在履行合同过程中所获得或接触到的任何内部数据资料。</w:t>
      </w:r>
    </w:p>
    <w:p>
      <w:pPr>
        <w:pStyle w:val="PlainText"/>
        <w:snapToGrid w:val="0"/>
        <w:spacing w:line="360" w:lineRule="auto"/>
        <w:ind w:firstLine="420" w:firstLineChars="200"/>
        <w:rPr>
          <w:rFonts w:hAnsi="宋体"/>
          <w:b/>
          <w:sz w:val="21"/>
          <w:szCs w:val="21"/>
        </w:rPr>
      </w:pPr>
      <w:r>
        <w:rPr>
          <w:rFonts w:hAnsi="宋体" w:hint="eastAsia"/>
          <w:b/>
          <w:sz w:val="21"/>
          <w:szCs w:val="21"/>
        </w:rPr>
        <w:t>四、知识产权</w:t>
      </w:r>
    </w:p>
    <w:p>
      <w:pPr>
        <w:pStyle w:val="PlainText"/>
        <w:snapToGrid w:val="0"/>
        <w:spacing w:line="360" w:lineRule="auto"/>
        <w:ind w:firstLine="420" w:firstLineChars="200"/>
        <w:rPr>
          <w:rFonts w:hAnsi="宋体"/>
          <w:bCs/>
          <w:sz w:val="21"/>
          <w:szCs w:val="21"/>
        </w:rPr>
      </w:pPr>
      <w:r>
        <w:rPr>
          <w:rFonts w:hAnsi="宋体" w:hint="eastAsia"/>
          <w:sz w:val="21"/>
          <w:szCs w:val="21"/>
        </w:rPr>
        <w:t>中标人应保证提供服务过程中不会侵犯任何第三方的知识产权</w:t>
      </w:r>
      <w:r>
        <w:rPr>
          <w:rFonts w:hAnsi="宋体" w:hint="eastAsia"/>
          <w:bCs/>
          <w:sz w:val="21"/>
          <w:szCs w:val="21"/>
        </w:rPr>
        <w:t>。</w:t>
      </w:r>
    </w:p>
    <w:p>
      <w:pPr>
        <w:pStyle w:val="PlainText"/>
        <w:snapToGrid w:val="0"/>
        <w:spacing w:line="360" w:lineRule="auto"/>
        <w:ind w:firstLine="420" w:firstLineChars="200"/>
        <w:rPr>
          <w:rFonts w:hAnsi="宋体"/>
          <w:b/>
          <w:sz w:val="21"/>
          <w:szCs w:val="21"/>
        </w:rPr>
      </w:pPr>
      <w:r>
        <w:rPr>
          <w:rFonts w:hAnsi="宋体" w:hint="eastAsia"/>
          <w:b/>
          <w:sz w:val="21"/>
          <w:szCs w:val="21"/>
        </w:rPr>
        <w:t>五、履约保证金</w:t>
      </w:r>
    </w:p>
    <w:p>
      <w:pPr>
        <w:snapToGrid w:val="0"/>
        <w:spacing w:line="360" w:lineRule="auto"/>
        <w:ind w:firstLine="420" w:firstLineChars="200"/>
        <w:rPr>
          <w:rFonts w:ascii="宋体" w:hAnsi="宋体"/>
          <w:b/>
          <w:szCs w:val="21"/>
        </w:rPr>
      </w:pPr>
      <w:r>
        <w:rPr>
          <w:rFonts w:ascii="宋体" w:hAnsi="宋体" w:hint="eastAsia"/>
          <w:b/>
          <w:szCs w:val="21"/>
        </w:rPr>
        <w:t>六、采购人的权利与义务</w:t>
      </w:r>
    </w:p>
    <w:p>
      <w:pPr>
        <w:snapToGrid w:val="0"/>
        <w:spacing w:line="360" w:lineRule="auto"/>
        <w:ind w:firstLine="420" w:firstLineChars="200"/>
        <w:rPr>
          <w:rFonts w:ascii="宋体" w:hAnsi="宋体"/>
          <w:szCs w:val="21"/>
        </w:rPr>
      </w:pPr>
      <w:r>
        <w:rPr>
          <w:rFonts w:ascii="宋体" w:hAnsi="宋体" w:hint="eastAsia"/>
          <w:szCs w:val="21"/>
        </w:rPr>
        <w:t>1、_______________________</w:t>
      </w:r>
    </w:p>
    <w:p>
      <w:pPr>
        <w:snapToGrid w:val="0"/>
        <w:spacing w:line="360" w:lineRule="auto"/>
        <w:ind w:firstLine="420" w:firstLineChars="200"/>
        <w:rPr>
          <w:rFonts w:ascii="宋体" w:hAnsi="宋体"/>
          <w:szCs w:val="21"/>
        </w:rPr>
      </w:pPr>
      <w:r>
        <w:rPr>
          <w:rFonts w:ascii="宋体" w:hAnsi="宋体" w:hint="eastAsia"/>
          <w:szCs w:val="21"/>
        </w:rPr>
        <w:t>2、_______________________</w:t>
      </w:r>
    </w:p>
    <w:p>
      <w:pPr>
        <w:snapToGrid w:val="0"/>
        <w:spacing w:line="360" w:lineRule="auto"/>
        <w:ind w:firstLine="420" w:firstLineChars="200"/>
        <w:rPr>
          <w:rFonts w:ascii="宋体" w:hAnsi="宋体"/>
          <w:szCs w:val="21"/>
        </w:rPr>
      </w:pPr>
      <w:r>
        <w:rPr>
          <w:rFonts w:ascii="宋体" w:hAnsi="宋体" w:hint="eastAsia"/>
          <w:szCs w:val="21"/>
        </w:rPr>
        <w:t>3、_______________________</w:t>
      </w:r>
    </w:p>
    <w:p>
      <w:pPr>
        <w:snapToGrid w:val="0"/>
        <w:spacing w:line="360" w:lineRule="auto"/>
        <w:ind w:firstLine="420" w:firstLineChars="200"/>
        <w:rPr>
          <w:rFonts w:ascii="宋体" w:hAnsi="宋体"/>
          <w:szCs w:val="21"/>
        </w:rPr>
      </w:pPr>
      <w:r>
        <w:rPr>
          <w:rFonts w:ascii="宋体" w:hAnsi="宋体" w:hint="eastAsia"/>
          <w:szCs w:val="21"/>
        </w:rPr>
        <w:t>4、_______________________</w:t>
      </w:r>
    </w:p>
    <w:p>
      <w:pPr>
        <w:snapToGrid w:val="0"/>
        <w:spacing w:line="360" w:lineRule="auto"/>
        <w:ind w:firstLine="420" w:firstLineChars="200"/>
        <w:rPr>
          <w:rFonts w:ascii="宋体" w:hAnsi="宋体"/>
          <w:szCs w:val="21"/>
        </w:rPr>
      </w:pPr>
      <w:r>
        <w:rPr>
          <w:rFonts w:ascii="宋体" w:hAnsi="宋体" w:hint="eastAsia"/>
          <w:szCs w:val="21"/>
        </w:rPr>
        <w:t>5、采购人的其它权利与义务_______________________</w:t>
      </w:r>
    </w:p>
    <w:p>
      <w:pPr>
        <w:snapToGrid w:val="0"/>
        <w:spacing w:line="360" w:lineRule="auto"/>
        <w:ind w:firstLine="420" w:firstLineChars="200"/>
        <w:rPr>
          <w:rFonts w:ascii="宋体" w:hAnsi="宋体"/>
          <w:b/>
          <w:szCs w:val="21"/>
        </w:rPr>
      </w:pPr>
      <w:r>
        <w:rPr>
          <w:rFonts w:ascii="宋体" w:hAnsi="宋体" w:hint="eastAsia"/>
          <w:b/>
          <w:szCs w:val="21"/>
        </w:rPr>
        <w:t>七、中标人的权利与义务</w:t>
      </w:r>
    </w:p>
    <w:p>
      <w:pPr>
        <w:snapToGrid w:val="0"/>
        <w:spacing w:line="360" w:lineRule="auto"/>
        <w:ind w:firstLine="420" w:firstLineChars="200"/>
        <w:rPr>
          <w:rFonts w:ascii="宋体" w:hAnsi="宋体"/>
          <w:szCs w:val="21"/>
        </w:rPr>
      </w:pPr>
      <w:r>
        <w:rPr>
          <w:rFonts w:ascii="宋体" w:hAnsi="宋体" w:hint="eastAsia"/>
          <w:szCs w:val="21"/>
        </w:rPr>
        <w:t>1、_______________________</w:t>
      </w:r>
    </w:p>
    <w:p>
      <w:pPr>
        <w:snapToGrid w:val="0"/>
        <w:spacing w:line="360" w:lineRule="auto"/>
        <w:ind w:firstLine="420" w:firstLineChars="200"/>
        <w:rPr>
          <w:rFonts w:ascii="宋体" w:hAnsi="宋体"/>
          <w:szCs w:val="21"/>
        </w:rPr>
      </w:pPr>
      <w:r>
        <w:rPr>
          <w:rFonts w:ascii="宋体" w:hAnsi="宋体" w:hint="eastAsia"/>
          <w:szCs w:val="21"/>
        </w:rPr>
        <w:t>2、_______________________</w:t>
      </w:r>
    </w:p>
    <w:p>
      <w:pPr>
        <w:snapToGrid w:val="0"/>
        <w:spacing w:line="360" w:lineRule="auto"/>
        <w:ind w:firstLine="420" w:firstLineChars="200"/>
        <w:rPr>
          <w:rFonts w:ascii="宋体" w:hAnsi="宋体"/>
          <w:szCs w:val="21"/>
        </w:rPr>
      </w:pPr>
      <w:r>
        <w:rPr>
          <w:rFonts w:ascii="宋体" w:hAnsi="宋体" w:hint="eastAsia"/>
          <w:szCs w:val="21"/>
        </w:rPr>
        <w:t>3、_______________________</w:t>
      </w:r>
    </w:p>
    <w:p>
      <w:pPr>
        <w:snapToGrid w:val="0"/>
        <w:spacing w:line="360" w:lineRule="auto"/>
        <w:ind w:firstLine="420" w:firstLineChars="200"/>
        <w:rPr>
          <w:rFonts w:ascii="宋体" w:hAnsi="宋体"/>
          <w:szCs w:val="21"/>
        </w:rPr>
      </w:pPr>
      <w:r>
        <w:rPr>
          <w:rFonts w:ascii="宋体" w:hAnsi="宋体" w:hint="eastAsia"/>
          <w:szCs w:val="21"/>
        </w:rPr>
        <w:t>4、_______________________</w:t>
      </w:r>
    </w:p>
    <w:p>
      <w:pPr>
        <w:snapToGrid w:val="0"/>
        <w:spacing w:line="360" w:lineRule="auto"/>
        <w:ind w:firstLine="420" w:firstLineChars="200"/>
        <w:rPr>
          <w:rFonts w:ascii="宋体" w:hAnsi="宋体"/>
          <w:szCs w:val="21"/>
        </w:rPr>
      </w:pPr>
      <w:r>
        <w:rPr>
          <w:rFonts w:ascii="宋体" w:hAnsi="宋体" w:hint="eastAsia"/>
          <w:szCs w:val="21"/>
        </w:rPr>
        <w:t>5、中标人的其它权利与义务_______________________</w:t>
      </w:r>
    </w:p>
    <w:p>
      <w:pPr>
        <w:pStyle w:val="PlainText"/>
        <w:snapToGrid w:val="0"/>
        <w:spacing w:line="360" w:lineRule="auto"/>
        <w:ind w:firstLine="420" w:firstLineChars="200"/>
        <w:rPr>
          <w:rFonts w:hAnsi="宋体"/>
          <w:b/>
          <w:sz w:val="21"/>
          <w:szCs w:val="21"/>
        </w:rPr>
      </w:pPr>
      <w:r>
        <w:rPr>
          <w:rFonts w:hAnsi="宋体" w:hint="eastAsia"/>
          <w:b/>
          <w:sz w:val="21"/>
          <w:szCs w:val="21"/>
        </w:rPr>
        <w:t>八、合同履行时间、履行方式及履行地点</w:t>
      </w:r>
    </w:p>
    <w:p>
      <w:pPr>
        <w:pStyle w:val="PlainText"/>
        <w:snapToGrid w:val="0"/>
        <w:spacing w:line="360" w:lineRule="auto"/>
        <w:ind w:firstLine="420" w:firstLineChars="200"/>
        <w:rPr>
          <w:rFonts w:hAnsi="宋体"/>
          <w:bCs/>
          <w:sz w:val="21"/>
          <w:szCs w:val="21"/>
        </w:rPr>
      </w:pPr>
      <w:r>
        <w:rPr>
          <w:rFonts w:hAnsi="宋体" w:hint="eastAsia"/>
          <w:bCs/>
          <w:sz w:val="21"/>
          <w:szCs w:val="21"/>
        </w:rPr>
        <w:t>1、</w:t>
      </w:r>
      <w:r>
        <w:rPr>
          <w:rFonts w:hAnsi="宋体" w:hint="eastAsia"/>
          <w:sz w:val="21"/>
          <w:szCs w:val="21"/>
        </w:rPr>
        <w:t>履行时间</w:t>
      </w:r>
      <w:r>
        <w:rPr>
          <w:rFonts w:hAnsi="宋体" w:hint="eastAsia"/>
          <w:bCs/>
          <w:sz w:val="21"/>
          <w:szCs w:val="21"/>
        </w:rPr>
        <w:t>：</w:t>
      </w:r>
      <w:r>
        <w:rPr>
          <w:rFonts w:hAnsi="宋体" w:hint="eastAsia"/>
          <w:sz w:val="21"/>
          <w:szCs w:val="21"/>
        </w:rPr>
        <w:t>______________________</w:t>
      </w:r>
    </w:p>
    <w:p>
      <w:pPr>
        <w:pStyle w:val="PlainText"/>
        <w:snapToGrid w:val="0"/>
        <w:spacing w:line="360" w:lineRule="auto"/>
        <w:ind w:firstLine="420" w:firstLineChars="200"/>
        <w:rPr>
          <w:rFonts w:hAnsi="宋体"/>
          <w:bCs/>
          <w:sz w:val="21"/>
          <w:szCs w:val="21"/>
        </w:rPr>
      </w:pPr>
      <w:r>
        <w:rPr>
          <w:rFonts w:hAnsi="宋体" w:hint="eastAsia"/>
          <w:bCs/>
          <w:sz w:val="21"/>
          <w:szCs w:val="21"/>
        </w:rPr>
        <w:t>2、</w:t>
      </w:r>
      <w:r>
        <w:rPr>
          <w:rFonts w:hAnsi="宋体" w:hint="eastAsia"/>
          <w:sz w:val="21"/>
          <w:szCs w:val="21"/>
        </w:rPr>
        <w:t>履行方式</w:t>
      </w:r>
      <w:r>
        <w:rPr>
          <w:rFonts w:hAnsi="宋体" w:hint="eastAsia"/>
          <w:bCs/>
          <w:sz w:val="21"/>
          <w:szCs w:val="21"/>
        </w:rPr>
        <w:t>：</w:t>
      </w:r>
      <w:r>
        <w:rPr>
          <w:rFonts w:hAnsi="宋体" w:hint="eastAsia"/>
          <w:sz w:val="21"/>
          <w:szCs w:val="21"/>
        </w:rPr>
        <w:t>______________________</w:t>
      </w:r>
    </w:p>
    <w:p>
      <w:pPr>
        <w:pStyle w:val="PlainText"/>
        <w:snapToGrid w:val="0"/>
        <w:spacing w:line="360" w:lineRule="auto"/>
        <w:ind w:firstLine="420" w:firstLineChars="200"/>
        <w:rPr>
          <w:rFonts w:hAnsi="宋体"/>
          <w:sz w:val="21"/>
          <w:szCs w:val="21"/>
        </w:rPr>
      </w:pPr>
      <w:r>
        <w:rPr>
          <w:rFonts w:hAnsi="宋体" w:hint="eastAsia"/>
          <w:bCs/>
          <w:sz w:val="21"/>
          <w:szCs w:val="21"/>
        </w:rPr>
        <w:t>3、</w:t>
      </w:r>
      <w:r>
        <w:rPr>
          <w:rFonts w:hAnsi="宋体" w:hint="eastAsia"/>
          <w:sz w:val="21"/>
          <w:szCs w:val="21"/>
        </w:rPr>
        <w:t>履行地点</w:t>
      </w:r>
      <w:r>
        <w:rPr>
          <w:rFonts w:hAnsi="宋体" w:hint="eastAsia"/>
          <w:bCs/>
          <w:sz w:val="21"/>
          <w:szCs w:val="21"/>
        </w:rPr>
        <w:t>：</w:t>
      </w:r>
      <w:r>
        <w:rPr>
          <w:rFonts w:hAnsi="宋体" w:hint="eastAsia"/>
          <w:sz w:val="21"/>
          <w:szCs w:val="21"/>
          <w:u w:val="single"/>
        </w:rPr>
        <w:t>深圳市</w:t>
      </w:r>
    </w:p>
    <w:p>
      <w:pPr>
        <w:snapToGrid w:val="0"/>
        <w:spacing w:line="360" w:lineRule="auto"/>
        <w:ind w:firstLine="420" w:firstLineChars="200"/>
        <w:rPr>
          <w:rFonts w:ascii="宋体" w:hAnsi="宋体"/>
          <w:b/>
          <w:szCs w:val="21"/>
        </w:rPr>
      </w:pPr>
      <w:r>
        <w:rPr>
          <w:rFonts w:ascii="宋体" w:hAnsi="宋体" w:hint="eastAsia"/>
          <w:b/>
          <w:szCs w:val="21"/>
        </w:rPr>
        <w:t>九、验收</w:t>
      </w:r>
    </w:p>
    <w:p>
      <w:pPr>
        <w:snapToGrid w:val="0"/>
        <w:spacing w:line="360" w:lineRule="auto"/>
        <w:ind w:firstLine="420" w:firstLineChars="200"/>
        <w:rPr>
          <w:rFonts w:ascii="宋体" w:hAnsi="宋体"/>
          <w:szCs w:val="21"/>
        </w:rPr>
      </w:pPr>
      <w:r>
        <w:rPr>
          <w:rFonts w:ascii="宋体" w:hAnsi="宋体" w:hint="eastAsia"/>
          <w:szCs w:val="21"/>
        </w:rPr>
        <w:t>1、下列文件的验收分为______个阶段:</w:t>
      </w:r>
    </w:p>
    <w:p>
      <w:pPr>
        <w:snapToGrid w:val="0"/>
        <w:spacing w:line="360" w:lineRule="auto"/>
        <w:ind w:firstLine="420" w:firstLineChars="200"/>
        <w:rPr>
          <w:rFonts w:ascii="宋体" w:hAnsi="宋体"/>
          <w:szCs w:val="21"/>
        </w:rPr>
      </w:pPr>
      <w:r>
        <w:rPr>
          <w:rFonts w:ascii="宋体" w:hAnsi="宋体" w:hint="eastAsia"/>
          <w:szCs w:val="21"/>
        </w:rPr>
        <w:t>2、其余文件和工作由用户组织有关技术人员根据国家和行业有关规范、规程、标准和用户需求直接验收。</w:t>
      </w:r>
    </w:p>
    <w:p>
      <w:pPr>
        <w:snapToGrid w:val="0"/>
        <w:spacing w:line="360" w:lineRule="auto"/>
        <w:ind w:firstLine="420" w:firstLineChars="200"/>
        <w:rPr>
          <w:rFonts w:ascii="宋体" w:hAnsi="宋体"/>
          <w:szCs w:val="21"/>
        </w:rPr>
      </w:pPr>
      <w:r>
        <w:rPr>
          <w:rFonts w:ascii="宋体" w:hAnsi="宋体" w:hint="eastAsia"/>
          <w:szCs w:val="21"/>
        </w:rPr>
        <w:t>3、验收依据为招标文件、中标人投标文件，国家和行业有关规范、规程和标准。</w:t>
      </w:r>
    </w:p>
    <w:p>
      <w:pPr>
        <w:pStyle w:val="PlainText"/>
        <w:snapToGrid w:val="0"/>
        <w:spacing w:line="360" w:lineRule="auto"/>
        <w:ind w:firstLine="420" w:firstLineChars="200"/>
        <w:rPr>
          <w:rFonts w:hAnsi="宋体"/>
          <w:b/>
          <w:sz w:val="21"/>
          <w:szCs w:val="21"/>
        </w:rPr>
      </w:pPr>
      <w:r>
        <w:rPr>
          <w:rFonts w:hAnsi="宋体" w:hint="eastAsia"/>
          <w:b/>
          <w:sz w:val="21"/>
          <w:szCs w:val="21"/>
        </w:rPr>
        <w:t>十、付款方式和税费</w:t>
      </w:r>
    </w:p>
    <w:p>
      <w:pPr>
        <w:pStyle w:val="PlainText"/>
        <w:snapToGrid w:val="0"/>
        <w:spacing w:line="360" w:lineRule="auto"/>
        <w:ind w:firstLine="420" w:firstLineChars="200"/>
        <w:rPr>
          <w:rFonts w:hAnsi="宋体"/>
          <w:bCs/>
          <w:sz w:val="21"/>
          <w:szCs w:val="21"/>
        </w:rPr>
      </w:pPr>
      <w:r>
        <w:rPr>
          <w:rFonts w:hAnsi="宋体" w:cs="宋体"/>
          <w:sz w:val="21"/>
          <w:szCs w:val="21"/>
        </w:rPr>
        <w:t>本合同付款方式为</w:t>
      </w:r>
      <w:r>
        <w:rPr>
          <w:rFonts w:hAnsi="宋体" w:cs="宋体" w:hint="eastAsia"/>
          <w:sz w:val="21"/>
          <w:szCs w:val="21"/>
        </w:rPr>
        <w:t>：</w:t>
      </w:r>
      <w:r>
        <w:rPr>
          <w:rFonts w:hAnsi="宋体" w:cs="宋体" w:hint="eastAsia"/>
          <w:sz w:val="21"/>
          <w:szCs w:val="21"/>
          <w:u w:val="single"/>
        </w:rPr>
        <w:t xml:space="preserve">                </w:t>
      </w:r>
      <w:r>
        <w:rPr>
          <w:rFonts w:hAnsi="宋体" w:hint="eastAsia"/>
          <w:bCs/>
          <w:sz w:val="21"/>
          <w:szCs w:val="21"/>
        </w:rPr>
        <w:t>。</w:t>
      </w:r>
    </w:p>
    <w:p>
      <w:pPr>
        <w:snapToGrid w:val="0"/>
        <w:spacing w:line="360" w:lineRule="auto"/>
        <w:ind w:firstLine="420" w:firstLineChars="200"/>
        <w:rPr>
          <w:rFonts w:ascii="宋体" w:hAnsi="宋体"/>
          <w:szCs w:val="21"/>
        </w:rPr>
      </w:pPr>
      <w:r>
        <w:rPr>
          <w:rFonts w:ascii="宋体" w:hAnsi="宋体" w:hint="eastAsia"/>
          <w:szCs w:val="21"/>
        </w:rPr>
        <w:t>本合同执行中相关的一切税费均由中标人负担。</w:t>
      </w:r>
    </w:p>
    <w:p>
      <w:pPr>
        <w:snapToGrid w:val="0"/>
        <w:spacing w:line="360" w:lineRule="auto"/>
        <w:ind w:firstLine="420" w:firstLineChars="200"/>
        <w:rPr>
          <w:rFonts w:ascii="宋体" w:hAnsi="宋体"/>
          <w:b/>
          <w:bCs/>
          <w:szCs w:val="21"/>
        </w:rPr>
      </w:pPr>
      <w:r>
        <w:rPr>
          <w:rFonts w:ascii="宋体" w:hAnsi="宋体" w:hint="eastAsia"/>
          <w:b/>
          <w:szCs w:val="21"/>
        </w:rPr>
        <w:t>十一、</w:t>
      </w:r>
      <w:r>
        <w:rPr>
          <w:rFonts w:ascii="宋体" w:hAnsi="宋体" w:hint="eastAsia"/>
          <w:b/>
          <w:bCs/>
          <w:szCs w:val="21"/>
        </w:rPr>
        <w:t>争议解决办法</w:t>
      </w:r>
    </w:p>
    <w:p>
      <w:pPr>
        <w:snapToGrid w:val="0"/>
        <w:spacing w:line="360" w:lineRule="auto"/>
        <w:ind w:firstLine="420" w:firstLineChars="200"/>
        <w:rPr>
          <w:rFonts w:ascii="宋体" w:hAnsi="宋体"/>
          <w:szCs w:val="21"/>
        </w:rPr>
      </w:pPr>
      <w:r>
        <w:rPr>
          <w:rFonts w:asciiTheme="minorEastAsia" w:hAnsiTheme="minorEastAsia"/>
          <w:szCs w:val="21"/>
        </w:rPr>
        <w:t>因履行本合同引起的或与本合同有关的争议，甲、乙双方应首先通过友好协商解决，如果协商不能解决争议，则向甲方所在地有管辖权的人民法院提起诉讼</w:t>
      </w:r>
      <w:r>
        <w:rPr>
          <w:rFonts w:ascii="宋体" w:hAnsi="宋体" w:hint="eastAsia"/>
          <w:szCs w:val="21"/>
        </w:rPr>
        <w:t>。</w:t>
      </w:r>
    </w:p>
    <w:p>
      <w:pPr>
        <w:pStyle w:val="PlainText"/>
        <w:snapToGrid w:val="0"/>
        <w:spacing w:line="360" w:lineRule="auto"/>
        <w:ind w:firstLine="420" w:firstLineChars="200"/>
        <w:rPr>
          <w:rFonts w:hAnsi="宋体"/>
          <w:b/>
          <w:sz w:val="21"/>
          <w:szCs w:val="21"/>
        </w:rPr>
      </w:pPr>
      <w:r>
        <w:rPr>
          <w:rFonts w:hAnsi="宋体" w:hint="eastAsia"/>
          <w:b/>
          <w:sz w:val="21"/>
          <w:szCs w:val="21"/>
        </w:rPr>
        <w:t>十二、违约责任</w:t>
      </w:r>
    </w:p>
    <w:p>
      <w:pPr>
        <w:pStyle w:val="PlainText"/>
        <w:snapToGrid w:val="0"/>
        <w:spacing w:line="360" w:lineRule="auto"/>
        <w:ind w:firstLine="420" w:firstLineChars="200"/>
        <w:rPr>
          <w:rFonts w:hAnsi="宋体"/>
          <w:sz w:val="21"/>
          <w:szCs w:val="21"/>
        </w:rPr>
      </w:pPr>
      <w:r>
        <w:rPr>
          <w:rFonts w:hAnsi="宋体" w:hint="eastAsia"/>
          <w:sz w:val="21"/>
          <w:szCs w:val="21"/>
        </w:rPr>
        <w:t>1、因中标人原因，未能按规定完成本项目有关工作的，采购人可在支付合同余款中扣除合同价款</w:t>
      </w:r>
      <w:r>
        <w:rPr>
          <w:rFonts w:hAnsi="宋体" w:hint="eastAsia"/>
          <w:sz w:val="21"/>
          <w:szCs w:val="21"/>
          <w:u w:val="single"/>
        </w:rPr>
        <w:t xml:space="preserve">        </w:t>
      </w:r>
      <w:r>
        <w:rPr>
          <w:rFonts w:hAnsi="宋体" w:hint="eastAsia"/>
          <w:sz w:val="21"/>
          <w:szCs w:val="21"/>
        </w:rPr>
        <w:t>。</w:t>
      </w:r>
    </w:p>
    <w:p>
      <w:pPr>
        <w:snapToGrid w:val="0"/>
        <w:spacing w:line="360" w:lineRule="auto"/>
        <w:ind w:firstLine="420" w:firstLineChars="200"/>
        <w:rPr>
          <w:rFonts w:ascii="宋体" w:hAnsi="宋体"/>
          <w:szCs w:val="21"/>
        </w:rPr>
      </w:pPr>
      <w:r>
        <w:rPr>
          <w:rFonts w:ascii="宋体" w:hAnsi="宋体" w:hint="eastAsia"/>
          <w:szCs w:val="21"/>
        </w:rPr>
        <w:t>2、__________方违反本合同__________约定，应当__________。</w:t>
      </w:r>
    </w:p>
    <w:p>
      <w:pPr>
        <w:snapToGrid w:val="0"/>
        <w:spacing w:line="360" w:lineRule="auto"/>
        <w:ind w:firstLine="420" w:firstLineChars="200"/>
        <w:rPr>
          <w:rFonts w:ascii="宋体" w:hAnsi="宋体"/>
          <w:b/>
          <w:bCs/>
          <w:szCs w:val="21"/>
        </w:rPr>
      </w:pPr>
      <w:r>
        <w:rPr>
          <w:rFonts w:ascii="宋体" w:hAnsi="宋体" w:hint="eastAsia"/>
          <w:b/>
          <w:szCs w:val="21"/>
        </w:rPr>
        <w:t>十三、</w:t>
      </w:r>
      <w:r>
        <w:rPr>
          <w:rFonts w:asciiTheme="minorEastAsia" w:hAnsiTheme="minorEastAsia" w:hint="eastAsia"/>
          <w:b/>
          <w:szCs w:val="21"/>
        </w:rPr>
        <w:t>合同的变更、解除或终止</w:t>
      </w:r>
    </w:p>
    <w:p>
      <w:pPr>
        <w:snapToGrid w:val="0"/>
        <w:spacing w:line="360" w:lineRule="auto"/>
        <w:ind w:firstLine="420" w:firstLineChars="200"/>
        <w:rPr>
          <w:rFonts w:ascii="宋体" w:hAnsi="宋体"/>
          <w:b/>
          <w:bCs/>
          <w:szCs w:val="21"/>
        </w:rPr>
      </w:pPr>
      <w:r>
        <w:rPr>
          <w:rFonts w:ascii="宋体" w:hAnsi="宋体" w:hint="eastAsia"/>
          <w:szCs w:val="21"/>
        </w:rPr>
        <w:t>除政府采购合同继续履行将损害国家利益和社会公共利益外，双方当事人不得擅自变更、中止或者终止合同。</w:t>
      </w:r>
    </w:p>
    <w:p>
      <w:pPr>
        <w:snapToGrid w:val="0"/>
        <w:spacing w:line="360" w:lineRule="auto"/>
        <w:ind w:firstLine="420" w:firstLineChars="200"/>
        <w:rPr>
          <w:rFonts w:ascii="宋体" w:hAnsi="宋体"/>
          <w:b/>
          <w:bCs/>
          <w:szCs w:val="21"/>
        </w:rPr>
      </w:pPr>
      <w:r>
        <w:rPr>
          <w:rFonts w:ascii="宋体" w:hAnsi="宋体" w:hint="eastAsia"/>
          <w:b/>
          <w:szCs w:val="21"/>
        </w:rPr>
        <w:t>十四、</w:t>
      </w:r>
      <w:r>
        <w:rPr>
          <w:rFonts w:asciiTheme="minorEastAsia" w:hAnsiTheme="minorEastAsia" w:hint="eastAsia"/>
          <w:b/>
          <w:szCs w:val="21"/>
        </w:rPr>
        <w:t>合同生效及其他</w:t>
      </w:r>
    </w:p>
    <w:p>
      <w:pPr>
        <w:snapToGrid w:val="0"/>
        <w:spacing w:line="360" w:lineRule="auto"/>
        <w:ind w:firstLine="420" w:firstLineChars="200"/>
        <w:rPr>
          <w:rFonts w:ascii="宋体" w:hAnsi="宋体"/>
          <w:szCs w:val="21"/>
        </w:rPr>
      </w:pPr>
      <w:r>
        <w:rPr>
          <w:rFonts w:ascii="宋体" w:hAnsi="宋体" w:hint="eastAsia"/>
          <w:szCs w:val="21"/>
        </w:rPr>
        <w:t>1、本合同与招标文件、中标人投标文件如有抵触之处，以本合同条款为准。</w:t>
      </w:r>
    </w:p>
    <w:p>
      <w:pPr>
        <w:snapToGrid w:val="0"/>
        <w:spacing w:line="360" w:lineRule="auto"/>
        <w:ind w:firstLine="420" w:firstLineChars="200"/>
        <w:rPr>
          <w:rFonts w:ascii="宋体" w:hAnsi="宋体"/>
          <w:szCs w:val="21"/>
        </w:rPr>
      </w:pPr>
      <w:r>
        <w:rPr>
          <w:rFonts w:ascii="宋体" w:hAnsi="宋体" w:hint="eastAsia"/>
          <w:szCs w:val="21"/>
        </w:rPr>
        <w:t>2、下列文件均为本合同的组成部分：</w:t>
      </w:r>
    </w:p>
    <w:p>
      <w:pPr>
        <w:snapToGrid w:val="0"/>
        <w:spacing w:line="360" w:lineRule="auto"/>
        <w:ind w:firstLine="420" w:firstLineChars="200"/>
        <w:rPr>
          <w:rFonts w:ascii="宋体" w:hAnsi="宋体"/>
          <w:szCs w:val="21"/>
        </w:rPr>
      </w:pPr>
      <w:r>
        <w:rPr>
          <w:rFonts w:ascii="宋体" w:hAnsi="宋体" w:hint="eastAsia"/>
          <w:szCs w:val="21"/>
        </w:rPr>
        <w:t>（1）招标文件、答疑及补充通知；</w:t>
      </w:r>
    </w:p>
    <w:p>
      <w:pPr>
        <w:snapToGrid w:val="0"/>
        <w:spacing w:line="360" w:lineRule="auto"/>
        <w:ind w:firstLine="420" w:firstLineChars="200"/>
        <w:rPr>
          <w:rFonts w:ascii="宋体" w:hAnsi="宋体"/>
          <w:szCs w:val="21"/>
        </w:rPr>
      </w:pPr>
      <w:r>
        <w:rPr>
          <w:rFonts w:ascii="宋体" w:hAnsi="宋体" w:hint="eastAsia"/>
          <w:szCs w:val="21"/>
        </w:rPr>
        <w:t>（2）</w:t>
      </w:r>
      <w:r>
        <w:rPr>
          <w:rFonts w:asciiTheme="minorEastAsia" w:hAnsiTheme="minorEastAsia"/>
          <w:szCs w:val="21"/>
        </w:rPr>
        <w:t>乙方的</w:t>
      </w:r>
      <w:r>
        <w:rPr>
          <w:rFonts w:ascii="宋体" w:hAnsi="宋体" w:hint="eastAsia"/>
          <w:szCs w:val="21"/>
        </w:rPr>
        <w:t>投标文件；</w:t>
      </w:r>
    </w:p>
    <w:p>
      <w:pPr>
        <w:snapToGrid w:val="0"/>
        <w:spacing w:line="360" w:lineRule="auto"/>
        <w:ind w:firstLine="420" w:firstLineChars="200"/>
        <w:rPr>
          <w:rFonts w:ascii="宋体" w:hAnsi="宋体"/>
          <w:szCs w:val="21"/>
        </w:rPr>
      </w:pPr>
      <w:r>
        <w:rPr>
          <w:rFonts w:ascii="宋体" w:hAnsi="宋体" w:hint="eastAsia"/>
          <w:szCs w:val="21"/>
        </w:rPr>
        <w:t>（3）本合同执行中共同签署的补充与修正文件。</w:t>
      </w:r>
    </w:p>
    <w:p>
      <w:pPr>
        <w:snapToGrid w:val="0"/>
        <w:spacing w:line="360" w:lineRule="auto"/>
        <w:ind w:firstLine="420" w:firstLineChars="200"/>
        <w:rPr>
          <w:rFonts w:ascii="宋体" w:hAnsi="宋体"/>
          <w:szCs w:val="21"/>
        </w:rPr>
      </w:pPr>
      <w:r>
        <w:rPr>
          <w:rFonts w:ascii="宋体" w:hAnsi="宋体" w:hint="eastAsia"/>
          <w:szCs w:val="21"/>
        </w:rPr>
        <w:t>3、本合同一式_____份，甲、中标人双方各执_____份，具有同等法律效力。本合同自双方法定代表人签字（盖章）认可之日起生效。</w:t>
      </w:r>
    </w:p>
    <w:p>
      <w:pPr>
        <w:snapToGrid w:val="0"/>
        <w:spacing w:line="360" w:lineRule="auto"/>
        <w:ind w:firstLine="420" w:firstLineChars="200"/>
        <w:rPr>
          <w:rFonts w:ascii="宋体" w:hAnsi="宋体"/>
          <w:szCs w:val="21"/>
        </w:rPr>
      </w:pPr>
      <w:r>
        <w:rPr>
          <w:rFonts w:ascii="宋体" w:hAnsi="宋体" w:hint="eastAsia"/>
          <w:szCs w:val="21"/>
        </w:rPr>
        <w:t>4、本合同未尽事宜，双方友好协商，达成解决方案，经双方签字后，可作为本合同的有效附件。</w:t>
      </w:r>
    </w:p>
    <w:p>
      <w:pPr>
        <w:pStyle w:val="PlainText"/>
        <w:snapToGrid w:val="0"/>
        <w:spacing w:line="360" w:lineRule="auto"/>
        <w:ind w:firstLine="420" w:firstLineChars="200"/>
        <w:rPr>
          <w:rFonts w:hAnsi="宋体"/>
          <w:sz w:val="21"/>
          <w:szCs w:val="21"/>
        </w:rPr>
      </w:pPr>
      <w:r>
        <w:rPr>
          <w:rFonts w:hAnsi="宋体" w:hint="eastAsia"/>
          <w:sz w:val="21"/>
          <w:szCs w:val="21"/>
        </w:rPr>
        <w:t>附件：</w:t>
      </w:r>
    </w:p>
    <w:p>
      <w:pPr>
        <w:snapToGrid w:val="0"/>
        <w:spacing w:line="360" w:lineRule="auto"/>
        <w:ind w:firstLine="420" w:firstLineChars="200"/>
        <w:rPr>
          <w:rFonts w:ascii="宋体" w:hAnsi="宋体"/>
          <w:szCs w:val="21"/>
        </w:rPr>
      </w:pPr>
      <w:r>
        <w:rPr>
          <w:rFonts w:ascii="宋体" w:hAnsi="宋体" w:hint="eastAsia"/>
          <w:szCs w:val="21"/>
        </w:rPr>
        <w:t>1、《中标/成交通知书》</w:t>
      </w:r>
    </w:p>
    <w:p>
      <w:pPr>
        <w:snapToGrid w:val="0"/>
        <w:spacing w:line="360" w:lineRule="auto"/>
        <w:ind w:firstLine="420" w:firstLineChars="200"/>
        <w:rPr>
          <w:rFonts w:ascii="宋体" w:hAnsi="宋体"/>
          <w:szCs w:val="21"/>
        </w:rPr>
      </w:pPr>
      <w:r>
        <w:rPr>
          <w:rFonts w:ascii="宋体" w:hAnsi="宋体" w:hint="eastAsia"/>
          <w:szCs w:val="21"/>
        </w:rPr>
        <w:t>2、《投标文件》</w:t>
      </w:r>
    </w:p>
    <w:p>
      <w:pPr>
        <w:snapToGrid w:val="0"/>
        <w:spacing w:line="360" w:lineRule="auto"/>
        <w:ind w:firstLine="420" w:firstLineChars="200"/>
        <w:rPr>
          <w:rFonts w:ascii="宋体" w:hAnsi="宋体"/>
          <w:szCs w:val="21"/>
        </w:rPr>
      </w:pPr>
      <w:r>
        <w:rPr>
          <w:rFonts w:ascii="宋体" w:hAnsi="宋体" w:hint="eastAsia"/>
          <w:szCs w:val="21"/>
        </w:rPr>
        <w:t>3、《招标文件》</w:t>
      </w:r>
    </w:p>
    <w:p>
      <w:pPr>
        <w:snapToGrid w:val="0"/>
        <w:spacing w:line="360" w:lineRule="auto"/>
        <w:rPr>
          <w:rFonts w:ascii="宋体" w:hAnsi="宋体"/>
          <w:szCs w:val="21"/>
        </w:rPr>
      </w:pPr>
    </w:p>
    <w:p>
      <w:pPr>
        <w:spacing w:line="360" w:lineRule="auto"/>
        <w:ind w:firstLine="424" w:firstLineChars="202"/>
        <w:jc w:val="left"/>
        <w:rPr>
          <w:rFonts w:asciiTheme="minorEastAsia" w:hAnsiTheme="minorEastAsia"/>
          <w:szCs w:val="21"/>
        </w:rPr>
      </w:pPr>
      <w:r>
        <w:rPr>
          <w:rFonts w:asciiTheme="minorEastAsia" w:hAnsiTheme="minorEastAsia" w:hint="eastAsia"/>
          <w:szCs w:val="21"/>
        </w:rPr>
        <w:t>甲方（采购人）：</w:t>
      </w:r>
      <w:r>
        <w:rPr>
          <w:rFonts w:asciiTheme="minorEastAsia" w:hAnsiTheme="minorEastAsia"/>
          <w:szCs w:val="21"/>
        </w:rPr>
        <w:t>（盖</w:t>
      </w:r>
      <w:r>
        <w:rPr>
          <w:rFonts w:asciiTheme="minorEastAsia" w:hAnsiTheme="minorEastAsia" w:hint="eastAsia"/>
          <w:szCs w:val="21"/>
        </w:rPr>
        <w:t>公</w:t>
      </w:r>
      <w:r>
        <w:rPr>
          <w:rFonts w:asciiTheme="minorEastAsia" w:hAnsiTheme="minorEastAsia"/>
          <w:szCs w:val="21"/>
        </w:rPr>
        <w:t xml:space="preserve">章）  </w:t>
      </w:r>
      <w:r>
        <w:rPr>
          <w:rFonts w:asciiTheme="minorEastAsia" w:hAnsiTheme="minorEastAsia" w:hint="eastAsia"/>
          <w:szCs w:val="21"/>
        </w:rPr>
        <w:t xml:space="preserve">      </w:t>
      </w:r>
      <w:r>
        <w:rPr>
          <w:rFonts w:asciiTheme="minorEastAsia" w:hAnsiTheme="minorEastAsia"/>
          <w:szCs w:val="21"/>
        </w:rPr>
        <w:t xml:space="preserve"> </w:t>
      </w:r>
      <w:r>
        <w:rPr>
          <w:rFonts w:asciiTheme="minorEastAsia" w:hAnsiTheme="minorEastAsia" w:hint="eastAsia"/>
          <w:szCs w:val="21"/>
        </w:rPr>
        <w:t xml:space="preserve">    </w:t>
      </w:r>
      <w:r>
        <w:rPr>
          <w:rFonts w:asciiTheme="minorEastAsia" w:hAnsiTheme="minorEastAsia"/>
          <w:szCs w:val="21"/>
        </w:rPr>
        <w:t xml:space="preserve"> </w:t>
      </w:r>
      <w:r>
        <w:rPr>
          <w:rFonts w:asciiTheme="minorEastAsia" w:hAnsiTheme="minorEastAsia" w:hint="eastAsia"/>
          <w:szCs w:val="21"/>
        </w:rPr>
        <w:t xml:space="preserve">      </w:t>
      </w:r>
      <w:r>
        <w:rPr>
          <w:rFonts w:asciiTheme="minorEastAsia" w:hAnsiTheme="minorEastAsia"/>
          <w:szCs w:val="21"/>
        </w:rPr>
        <w:t>乙方（</w:t>
      </w:r>
      <w:r>
        <w:rPr>
          <w:rFonts w:asciiTheme="minorEastAsia" w:hAnsiTheme="minorEastAsia" w:hint="eastAsia"/>
          <w:szCs w:val="21"/>
        </w:rPr>
        <w:t>中标人</w:t>
      </w:r>
      <w:r>
        <w:rPr>
          <w:rFonts w:asciiTheme="minorEastAsia" w:hAnsiTheme="minorEastAsia"/>
          <w:szCs w:val="21"/>
        </w:rPr>
        <w:t>）：（盖</w:t>
      </w:r>
      <w:r>
        <w:rPr>
          <w:rFonts w:asciiTheme="minorEastAsia" w:hAnsiTheme="minorEastAsia" w:hint="eastAsia"/>
          <w:szCs w:val="21"/>
        </w:rPr>
        <w:t>公</w:t>
      </w:r>
      <w:r>
        <w:rPr>
          <w:rFonts w:asciiTheme="minorEastAsia" w:hAnsiTheme="minorEastAsia"/>
          <w:szCs w:val="21"/>
        </w:rPr>
        <w:t>章）</w:t>
      </w:r>
    </w:p>
    <w:p>
      <w:pPr>
        <w:spacing w:line="360" w:lineRule="auto"/>
        <w:ind w:firstLine="424" w:firstLineChars="202"/>
        <w:jc w:val="left"/>
        <w:rPr>
          <w:rFonts w:asciiTheme="minorEastAsia" w:hAnsiTheme="minorEastAsia"/>
          <w:szCs w:val="21"/>
        </w:rPr>
      </w:pPr>
      <w:r>
        <w:rPr>
          <w:rFonts w:asciiTheme="minorEastAsia" w:hAnsiTheme="minorEastAsia" w:hint="eastAsia"/>
          <w:szCs w:val="21"/>
        </w:rPr>
        <w:t>法定代表人（签字或盖私章）：</w:t>
      </w:r>
      <w:r>
        <w:rPr>
          <w:rFonts w:asciiTheme="minorEastAsia" w:hAnsiTheme="minorEastAsia"/>
          <w:szCs w:val="21"/>
        </w:rPr>
        <w:t xml:space="preserve">                 法定代表人</w:t>
      </w:r>
      <w:r>
        <w:rPr>
          <w:rFonts w:asciiTheme="minorEastAsia" w:hAnsiTheme="minorEastAsia" w:hint="eastAsia"/>
          <w:szCs w:val="21"/>
        </w:rPr>
        <w:t>（签字或盖私章）</w:t>
      </w:r>
      <w:r>
        <w:rPr>
          <w:rFonts w:asciiTheme="minorEastAsia" w:hAnsiTheme="minorEastAsia"/>
          <w:szCs w:val="21"/>
        </w:rPr>
        <w:t xml:space="preserve">： </w:t>
      </w:r>
    </w:p>
    <w:p>
      <w:pPr>
        <w:spacing w:line="360" w:lineRule="auto"/>
        <w:ind w:firstLine="424" w:firstLineChars="202"/>
        <w:jc w:val="left"/>
        <w:rPr>
          <w:rFonts w:asciiTheme="minorEastAsia" w:hAnsiTheme="minorEastAsia"/>
          <w:szCs w:val="21"/>
        </w:rPr>
      </w:pPr>
      <w:r>
        <w:rPr>
          <w:rFonts w:asciiTheme="minorEastAsia" w:hAnsiTheme="minorEastAsia" w:hint="eastAsia"/>
          <w:szCs w:val="21"/>
        </w:rPr>
        <w:t>委托代理人：</w:t>
      </w:r>
      <w:r>
        <w:rPr>
          <w:rFonts w:asciiTheme="minorEastAsia" w:hAnsiTheme="minorEastAsia"/>
          <w:szCs w:val="21"/>
        </w:rPr>
        <w:t xml:space="preserve">                </w:t>
      </w:r>
      <w:r>
        <w:rPr>
          <w:rFonts w:asciiTheme="minorEastAsia" w:hAnsiTheme="minorEastAsia" w:hint="eastAsia"/>
          <w:szCs w:val="21"/>
        </w:rPr>
        <w:t xml:space="preserve">              </w:t>
      </w:r>
      <w:r>
        <w:rPr>
          <w:rFonts w:asciiTheme="minorEastAsia" w:hAnsiTheme="minorEastAsia"/>
          <w:szCs w:val="21"/>
        </w:rPr>
        <w:t xml:space="preserve">  委托代理人：</w:t>
      </w:r>
    </w:p>
    <w:p>
      <w:pPr>
        <w:ind w:firstLine="424" w:firstLineChars="202"/>
        <w:rPr>
          <w:rFonts w:asciiTheme="minorEastAsia" w:hAnsiTheme="minorEastAsia"/>
          <w:b/>
          <w:szCs w:val="21"/>
        </w:rPr>
      </w:pPr>
      <w:r>
        <w:rPr>
          <w:rFonts w:asciiTheme="minorEastAsia" w:hAnsiTheme="minorEastAsia" w:hint="eastAsia"/>
          <w:szCs w:val="21"/>
        </w:rPr>
        <w:t>日期：</w:t>
      </w:r>
      <w:r>
        <w:rPr>
          <w:rFonts w:asciiTheme="minorEastAsia" w:hAnsiTheme="minorEastAsia"/>
          <w:szCs w:val="21"/>
        </w:rPr>
        <w:t xml:space="preserve">   年     月    日    </w:t>
      </w:r>
      <w:r>
        <w:rPr>
          <w:rFonts w:asciiTheme="minorEastAsia" w:hAnsiTheme="minorEastAsia" w:hint="eastAsia"/>
          <w:szCs w:val="21"/>
        </w:rPr>
        <w:t xml:space="preserve">              </w:t>
      </w:r>
      <w:r>
        <w:rPr>
          <w:rFonts w:asciiTheme="minorEastAsia" w:hAnsiTheme="minorEastAsia"/>
          <w:szCs w:val="21"/>
        </w:rPr>
        <w:t xml:space="preserve">  日期：   年     月    日</w:t>
      </w:r>
    </w:p>
    <w:p>
      <w:pPr>
        <w:ind w:firstLine="420" w:firstLineChars="200"/>
        <w:rPr>
          <w:rFonts w:ascii="宋体" w:hAnsi="宋体"/>
          <w:szCs w:val="21"/>
        </w:rPr>
      </w:pPr>
    </w:p>
    <w:p>
      <w:pPr>
        <w:ind w:firstLine="420" w:firstLineChars="200"/>
        <w:rPr>
          <w:rFonts w:ascii="宋体" w:hAnsi="宋体"/>
          <w:szCs w:val="21"/>
        </w:rPr>
      </w:pPr>
    </w:p>
    <w:p>
      <w:pPr>
        <w:keepNext/>
        <w:keepLines/>
        <w:spacing w:before="260" w:after="260"/>
        <w:jc w:val="center"/>
        <w:outlineLvl w:val="2"/>
        <w:rPr>
          <w:rFonts w:ascii="宋体" w:hAnsi="宋体"/>
          <w:szCs w:val="21"/>
        </w:rPr>
      </w:pPr>
    </w:p>
    <w:p>
      <w:pPr>
        <w:keepNext/>
        <w:keepLines/>
        <w:spacing w:before="260" w:after="260"/>
        <w:jc w:val="center"/>
        <w:outlineLvl w:val="2"/>
        <w:rPr>
          <w:rFonts w:ascii="宋体" w:hAnsi="宋体"/>
          <w:szCs w:val="21"/>
        </w:rPr>
      </w:pPr>
    </w:p>
    <w:p>
      <w:pPr>
        <w:keepNext/>
        <w:keepLines/>
        <w:spacing w:before="260" w:after="260"/>
        <w:jc w:val="center"/>
        <w:outlineLvl w:val="2"/>
        <w:rPr>
          <w:rFonts w:ascii="宋体" w:hAnsi="宋体"/>
          <w:szCs w:val="21"/>
        </w:rPr>
      </w:pPr>
    </w:p>
    <w:p>
      <w:pPr>
        <w:keepNext/>
        <w:keepLines/>
        <w:spacing w:before="260" w:after="260"/>
        <w:jc w:val="center"/>
        <w:outlineLvl w:val="2"/>
        <w:rPr>
          <w:rFonts w:ascii="宋体" w:hAnsi="宋体"/>
          <w:szCs w:val="21"/>
        </w:rPr>
      </w:pPr>
    </w:p>
    <w:p>
      <w:pPr>
        <w:keepNext/>
        <w:keepLines/>
        <w:spacing w:before="260" w:after="260"/>
        <w:jc w:val="center"/>
        <w:outlineLvl w:val="2"/>
        <w:rPr>
          <w:rFonts w:ascii="宋体" w:hAnsi="宋体"/>
          <w:szCs w:val="21"/>
        </w:rPr>
      </w:pPr>
    </w:p>
    <w:p>
      <w:pPr>
        <w:keepNext/>
        <w:keepLines/>
        <w:spacing w:before="260" w:after="260"/>
        <w:jc w:val="center"/>
        <w:outlineLvl w:val="2"/>
        <w:rPr>
          <w:rFonts w:ascii="宋体" w:hAnsi="宋体"/>
          <w:szCs w:val="21"/>
        </w:rPr>
      </w:pPr>
    </w:p>
    <w:p>
      <w:pPr>
        <w:keepNext/>
        <w:keepLines/>
        <w:spacing w:before="260" w:after="260"/>
        <w:jc w:val="center"/>
        <w:outlineLvl w:val="2"/>
        <w:rPr>
          <w:rFonts w:ascii="宋体" w:hAnsi="宋体"/>
          <w:szCs w:val="21"/>
        </w:rPr>
      </w:pPr>
    </w:p>
    <w:p>
      <w:pPr>
        <w:keepNext/>
        <w:keepLines/>
        <w:spacing w:before="260" w:after="260"/>
        <w:jc w:val="center"/>
        <w:outlineLvl w:val="2"/>
        <w:rPr>
          <w:rFonts w:ascii="宋体" w:hAnsi="宋体"/>
          <w:szCs w:val="21"/>
        </w:rPr>
      </w:pPr>
    </w:p>
    <w:p>
      <w:pPr>
        <w:keepNext/>
        <w:keepLines/>
        <w:spacing w:before="260" w:after="260"/>
        <w:jc w:val="center"/>
        <w:outlineLvl w:val="2"/>
        <w:rPr>
          <w:rFonts w:ascii="宋体" w:hAnsi="宋体"/>
          <w:szCs w:val="21"/>
        </w:rPr>
      </w:pPr>
    </w:p>
    <w:p>
      <w:pPr>
        <w:widowControl/>
        <w:jc w:val="left"/>
        <w:rPr>
          <w:rFonts w:ascii="宋体" w:hAnsi="宋体"/>
          <w:b/>
          <w:szCs w:val="21"/>
        </w:rPr>
      </w:pPr>
      <w:r>
        <w:rPr>
          <w:bCs/>
          <w:szCs w:val="21"/>
        </w:rPr>
        <w:br w:type="page"/>
      </w:r>
    </w:p>
    <w:p>
      <w:pPr>
        <w:pStyle w:val="Heading3"/>
        <w:spacing w:before="0"/>
        <w:jc w:val="center"/>
        <w:rPr>
          <w:rFonts w:ascii="黑体" w:eastAsia="黑体"/>
          <w:b w:val="0"/>
          <w:sz w:val="24"/>
          <w:szCs w:val="24"/>
        </w:rPr>
      </w:pPr>
      <w:r>
        <w:rPr>
          <w:rFonts w:ascii="黑体" w:eastAsia="黑体" w:hint="eastAsia"/>
          <w:b w:val="0"/>
          <w:sz w:val="24"/>
          <w:szCs w:val="24"/>
        </w:rPr>
        <w:t>二、政府采购履约情况反馈表</w:t>
      </w:r>
    </w:p>
    <w:p>
      <w:pPr>
        <w:spacing w:line="240" w:lineRule="atLeast"/>
        <w:rPr>
          <w:rFonts w:ascii="宋体" w:hAnsi="宋体"/>
          <w:b/>
          <w:szCs w:val="21"/>
        </w:rPr>
      </w:pPr>
      <w:r>
        <w:rPr>
          <w:rFonts w:ascii="宋体" w:hAnsi="宋体" w:hint="eastAsia"/>
          <w:b/>
          <w:szCs w:val="21"/>
        </w:rPr>
        <w:t>采购人名称：                       联系人及电话：</w:t>
      </w:r>
    </w:p>
    <w:p>
      <w:pPr>
        <w:spacing w:line="60" w:lineRule="exact"/>
        <w:rPr>
          <w:rFonts w:ascii="宋体" w:hAnsi="宋体"/>
          <w:b/>
          <w:szCs w:val="21"/>
        </w:rPr>
      </w:pPr>
    </w:p>
    <w:tbl>
      <w:tblPr>
        <w:tblStyle w:val="TableNormal"/>
        <w:tblW w:w="8917" w:type="dxa"/>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CellMar>
          <w:top w:w="0" w:type="dxa"/>
          <w:left w:w="108" w:type="dxa"/>
          <w:bottom w:w="0" w:type="dxa"/>
          <w:right w:w="108" w:type="dxa"/>
        </w:tblCellMar>
      </w:tblPr>
      <w:tblGrid>
        <w:gridCol w:w="842"/>
        <w:gridCol w:w="720"/>
        <w:gridCol w:w="720"/>
        <w:gridCol w:w="2520"/>
        <w:gridCol w:w="1980"/>
        <w:gridCol w:w="2135"/>
      </w:tblGrid>
      <w:tr>
        <w:tblPrEx>
          <w:tblW w:w="8917" w:type="dxa"/>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CellMar>
            <w:top w:w="0" w:type="dxa"/>
            <w:left w:w="108" w:type="dxa"/>
            <w:bottom w:w="0" w:type="dxa"/>
            <w:right w:w="108" w:type="dxa"/>
          </w:tblCellMar>
        </w:tblPrEx>
        <w:trPr>
          <w:trHeight w:val="450"/>
          <w:jc w:val="center"/>
        </w:trPr>
        <w:tc>
          <w:tcPr>
            <w:tcW w:w="2282" w:type="dxa"/>
            <w:gridSpan w:val="3"/>
            <w:vAlign w:val="center"/>
          </w:tcPr>
          <w:p>
            <w:pPr>
              <w:spacing w:line="240" w:lineRule="atLeast"/>
              <w:jc w:val="center"/>
              <w:rPr>
                <w:rFonts w:ascii="宋体" w:hAnsi="宋体"/>
                <w:szCs w:val="21"/>
              </w:rPr>
            </w:pPr>
            <w:r>
              <w:rPr>
                <w:rFonts w:ascii="宋体" w:hAnsi="宋体" w:hint="eastAsia"/>
                <w:szCs w:val="21"/>
              </w:rPr>
              <w:t>采购项目名称</w:t>
            </w:r>
          </w:p>
        </w:tc>
        <w:tc>
          <w:tcPr>
            <w:tcW w:w="2520" w:type="dxa"/>
            <w:vAlign w:val="center"/>
          </w:tcPr>
          <w:p>
            <w:pPr>
              <w:spacing w:line="240" w:lineRule="atLeast"/>
              <w:jc w:val="center"/>
              <w:rPr>
                <w:rFonts w:ascii="宋体" w:hAnsi="宋体"/>
                <w:szCs w:val="21"/>
              </w:rPr>
            </w:pPr>
          </w:p>
        </w:tc>
        <w:tc>
          <w:tcPr>
            <w:tcW w:w="1980" w:type="dxa"/>
            <w:vAlign w:val="center"/>
          </w:tcPr>
          <w:p>
            <w:pPr>
              <w:spacing w:line="240" w:lineRule="atLeast"/>
              <w:jc w:val="center"/>
              <w:rPr>
                <w:rFonts w:ascii="宋体" w:hAnsi="宋体"/>
                <w:szCs w:val="21"/>
              </w:rPr>
            </w:pPr>
            <w:r>
              <w:rPr>
                <w:rFonts w:ascii="宋体" w:hAnsi="宋体" w:hint="eastAsia"/>
                <w:szCs w:val="21"/>
              </w:rPr>
              <w:t>项目编号</w:t>
            </w:r>
          </w:p>
        </w:tc>
        <w:tc>
          <w:tcPr>
            <w:tcW w:w="2135" w:type="dxa"/>
            <w:vAlign w:val="center"/>
          </w:tcPr>
          <w:p>
            <w:pPr>
              <w:spacing w:line="240" w:lineRule="atLeast"/>
              <w:jc w:val="center"/>
              <w:rPr>
                <w:rFonts w:ascii="宋体" w:hAnsi="宋体"/>
                <w:szCs w:val="21"/>
              </w:rPr>
            </w:pPr>
          </w:p>
        </w:tc>
      </w:tr>
      <w:tr>
        <w:tblPrEx>
          <w:tblW w:w="8917" w:type="dxa"/>
          <w:jc w:val="center"/>
          <w:tblLayout w:type="fixed"/>
          <w:tblCellMar>
            <w:top w:w="0" w:type="dxa"/>
            <w:left w:w="108" w:type="dxa"/>
            <w:bottom w:w="0" w:type="dxa"/>
            <w:right w:w="108" w:type="dxa"/>
          </w:tblCellMar>
        </w:tblPrEx>
        <w:trPr>
          <w:trHeight w:val="461"/>
          <w:jc w:val="center"/>
        </w:trPr>
        <w:tc>
          <w:tcPr>
            <w:tcW w:w="2282" w:type="dxa"/>
            <w:gridSpan w:val="3"/>
            <w:vAlign w:val="center"/>
          </w:tcPr>
          <w:p>
            <w:pPr>
              <w:spacing w:line="240" w:lineRule="atLeast"/>
              <w:jc w:val="center"/>
              <w:rPr>
                <w:rFonts w:ascii="宋体" w:hAnsi="宋体"/>
                <w:szCs w:val="21"/>
              </w:rPr>
            </w:pPr>
            <w:r>
              <w:rPr>
                <w:rFonts w:ascii="宋体" w:hAnsi="宋体" w:hint="eastAsia"/>
                <w:szCs w:val="21"/>
              </w:rPr>
              <w:t>中标供应商名称</w:t>
            </w:r>
          </w:p>
        </w:tc>
        <w:tc>
          <w:tcPr>
            <w:tcW w:w="2520" w:type="dxa"/>
            <w:vAlign w:val="center"/>
          </w:tcPr>
          <w:p>
            <w:pPr>
              <w:spacing w:line="240" w:lineRule="atLeast"/>
              <w:jc w:val="center"/>
              <w:rPr>
                <w:rFonts w:ascii="宋体" w:hAnsi="宋体"/>
                <w:szCs w:val="21"/>
              </w:rPr>
            </w:pPr>
          </w:p>
        </w:tc>
        <w:tc>
          <w:tcPr>
            <w:tcW w:w="1980" w:type="dxa"/>
            <w:vAlign w:val="center"/>
          </w:tcPr>
          <w:p>
            <w:pPr>
              <w:spacing w:line="240" w:lineRule="atLeast"/>
              <w:jc w:val="center"/>
              <w:rPr>
                <w:rFonts w:ascii="宋体" w:hAnsi="宋体"/>
                <w:szCs w:val="21"/>
              </w:rPr>
            </w:pPr>
            <w:r>
              <w:rPr>
                <w:rFonts w:ascii="宋体" w:hAnsi="宋体" w:hint="eastAsia"/>
                <w:szCs w:val="21"/>
              </w:rPr>
              <w:t>供应商</w:t>
            </w:r>
          </w:p>
          <w:p>
            <w:pPr>
              <w:spacing w:line="240" w:lineRule="atLeast"/>
              <w:jc w:val="center"/>
              <w:rPr>
                <w:rFonts w:ascii="宋体" w:hAnsi="宋体"/>
                <w:szCs w:val="21"/>
              </w:rPr>
            </w:pPr>
            <w:r>
              <w:rPr>
                <w:rFonts w:ascii="宋体" w:hAnsi="宋体" w:hint="eastAsia"/>
                <w:szCs w:val="21"/>
              </w:rPr>
              <w:t>联系人及电话</w:t>
            </w:r>
          </w:p>
        </w:tc>
        <w:tc>
          <w:tcPr>
            <w:tcW w:w="2135" w:type="dxa"/>
            <w:vAlign w:val="center"/>
          </w:tcPr>
          <w:p>
            <w:pPr>
              <w:spacing w:line="240" w:lineRule="atLeast"/>
              <w:jc w:val="center"/>
              <w:rPr>
                <w:rFonts w:ascii="宋体" w:hAnsi="宋体"/>
                <w:szCs w:val="21"/>
              </w:rPr>
            </w:pPr>
          </w:p>
        </w:tc>
      </w:tr>
      <w:tr>
        <w:tblPrEx>
          <w:tblW w:w="8917" w:type="dxa"/>
          <w:jc w:val="center"/>
          <w:tblLayout w:type="fixed"/>
          <w:tblCellMar>
            <w:top w:w="0" w:type="dxa"/>
            <w:left w:w="108" w:type="dxa"/>
            <w:bottom w:w="0" w:type="dxa"/>
            <w:right w:w="108" w:type="dxa"/>
          </w:tblCellMar>
        </w:tblPrEx>
        <w:trPr>
          <w:trHeight w:val="438"/>
          <w:jc w:val="center"/>
        </w:trPr>
        <w:tc>
          <w:tcPr>
            <w:tcW w:w="2282" w:type="dxa"/>
            <w:gridSpan w:val="3"/>
            <w:vAlign w:val="center"/>
          </w:tcPr>
          <w:p>
            <w:pPr>
              <w:spacing w:line="240" w:lineRule="atLeast"/>
              <w:jc w:val="center"/>
              <w:rPr>
                <w:rFonts w:ascii="宋体" w:hAnsi="宋体"/>
                <w:szCs w:val="21"/>
              </w:rPr>
            </w:pPr>
            <w:r>
              <w:rPr>
                <w:rFonts w:ascii="宋体" w:hAnsi="宋体" w:hint="eastAsia"/>
                <w:szCs w:val="21"/>
              </w:rPr>
              <w:t>中标金额</w:t>
            </w:r>
          </w:p>
        </w:tc>
        <w:tc>
          <w:tcPr>
            <w:tcW w:w="2520" w:type="dxa"/>
            <w:vAlign w:val="center"/>
          </w:tcPr>
          <w:p>
            <w:pPr>
              <w:spacing w:line="240" w:lineRule="atLeast"/>
              <w:jc w:val="center"/>
              <w:rPr>
                <w:rFonts w:ascii="宋体" w:hAnsi="宋体"/>
                <w:szCs w:val="21"/>
              </w:rPr>
            </w:pPr>
          </w:p>
        </w:tc>
        <w:tc>
          <w:tcPr>
            <w:tcW w:w="1980" w:type="dxa"/>
            <w:vAlign w:val="center"/>
          </w:tcPr>
          <w:p>
            <w:pPr>
              <w:spacing w:line="240" w:lineRule="atLeast"/>
              <w:jc w:val="center"/>
              <w:rPr>
                <w:rFonts w:ascii="宋体" w:hAnsi="宋体"/>
                <w:szCs w:val="21"/>
              </w:rPr>
            </w:pPr>
            <w:r>
              <w:rPr>
                <w:rFonts w:ascii="宋体" w:hAnsi="宋体" w:hint="eastAsia"/>
                <w:szCs w:val="21"/>
              </w:rPr>
              <w:t>合同履约时间</w:t>
            </w:r>
          </w:p>
        </w:tc>
        <w:tc>
          <w:tcPr>
            <w:tcW w:w="2135" w:type="dxa"/>
            <w:vAlign w:val="center"/>
          </w:tcPr>
          <w:p>
            <w:pPr>
              <w:spacing w:line="240" w:lineRule="atLeast"/>
              <w:rPr>
                <w:rFonts w:ascii="宋体" w:hAnsi="宋体"/>
                <w:szCs w:val="21"/>
              </w:rPr>
            </w:pPr>
            <w:r>
              <w:rPr>
                <w:rFonts w:ascii="宋体" w:hAnsi="宋体" w:hint="eastAsia"/>
                <w:szCs w:val="21"/>
              </w:rPr>
              <w:t>自       至</w:t>
            </w:r>
          </w:p>
        </w:tc>
      </w:tr>
      <w:tr>
        <w:tblPrEx>
          <w:tblW w:w="8917" w:type="dxa"/>
          <w:jc w:val="center"/>
          <w:tblLayout w:type="fixed"/>
          <w:tblCellMar>
            <w:top w:w="0" w:type="dxa"/>
            <w:left w:w="108" w:type="dxa"/>
            <w:bottom w:w="0" w:type="dxa"/>
            <w:right w:w="108" w:type="dxa"/>
          </w:tblCellMar>
        </w:tblPrEx>
        <w:trPr>
          <w:trHeight w:val="544"/>
          <w:jc w:val="center"/>
        </w:trPr>
        <w:tc>
          <w:tcPr>
            <w:tcW w:w="842" w:type="dxa"/>
            <w:vMerge w:val="restart"/>
            <w:vAlign w:val="center"/>
          </w:tcPr>
          <w:p>
            <w:pPr>
              <w:spacing w:line="240" w:lineRule="atLeast"/>
              <w:jc w:val="center"/>
              <w:rPr>
                <w:rFonts w:ascii="宋体" w:hAnsi="宋体"/>
                <w:b/>
                <w:szCs w:val="21"/>
              </w:rPr>
            </w:pPr>
            <w:r>
              <w:rPr>
                <w:rFonts w:ascii="宋体" w:hAnsi="宋体" w:hint="eastAsia"/>
                <w:b/>
                <w:szCs w:val="21"/>
              </w:rPr>
              <w:t>履约情况评价</w:t>
            </w:r>
          </w:p>
        </w:tc>
        <w:tc>
          <w:tcPr>
            <w:tcW w:w="1440" w:type="dxa"/>
            <w:gridSpan w:val="2"/>
            <w:tcBorders>
              <w:right w:val="single" w:sz="4" w:space="0" w:color="auto"/>
            </w:tcBorders>
            <w:vAlign w:val="center"/>
          </w:tcPr>
          <w:p>
            <w:pPr>
              <w:spacing w:line="240" w:lineRule="atLeast"/>
              <w:jc w:val="center"/>
              <w:rPr>
                <w:rFonts w:ascii="宋体" w:hAnsi="宋体"/>
                <w:szCs w:val="21"/>
              </w:rPr>
            </w:pPr>
            <w:r>
              <w:rPr>
                <w:rFonts w:ascii="宋体" w:hAnsi="宋体" w:hint="eastAsia"/>
                <w:szCs w:val="21"/>
              </w:rPr>
              <w:t>总体评价</w:t>
            </w:r>
          </w:p>
        </w:tc>
        <w:tc>
          <w:tcPr>
            <w:tcW w:w="6635" w:type="dxa"/>
            <w:gridSpan w:val="3"/>
            <w:tcBorders>
              <w:left w:val="single" w:sz="4" w:space="0" w:color="auto"/>
            </w:tcBorders>
            <w:vAlign w:val="center"/>
          </w:tcPr>
          <w:p>
            <w:pPr>
              <w:spacing w:line="240" w:lineRule="atLeast"/>
              <w:ind w:firstLine="105" w:firstLineChars="50"/>
              <w:jc w:val="center"/>
              <w:rPr>
                <w:rFonts w:ascii="宋体" w:hAnsi="宋体"/>
                <w:szCs w:val="21"/>
              </w:rPr>
            </w:pPr>
            <w:r>
              <w:rPr>
                <w:rFonts w:ascii="宋体" w:hAnsi="宋体" w:hint="eastAsia"/>
                <w:szCs w:val="21"/>
              </w:rPr>
              <w:t>□ 优          □ 良          □ 中           □ 差</w:t>
            </w:r>
          </w:p>
        </w:tc>
      </w:tr>
      <w:tr>
        <w:tblPrEx>
          <w:tblW w:w="8917" w:type="dxa"/>
          <w:jc w:val="center"/>
          <w:tblLayout w:type="fixed"/>
          <w:tblCellMar>
            <w:top w:w="0" w:type="dxa"/>
            <w:left w:w="108" w:type="dxa"/>
            <w:bottom w:w="0" w:type="dxa"/>
            <w:right w:w="108" w:type="dxa"/>
          </w:tblCellMar>
        </w:tblPrEx>
        <w:trPr>
          <w:trHeight w:val="458"/>
          <w:jc w:val="center"/>
        </w:trPr>
        <w:tc>
          <w:tcPr>
            <w:tcW w:w="842" w:type="dxa"/>
            <w:vMerge/>
            <w:vAlign w:val="center"/>
          </w:tcPr>
          <w:p>
            <w:pPr>
              <w:spacing w:line="240" w:lineRule="atLeast"/>
              <w:jc w:val="center"/>
              <w:rPr>
                <w:rFonts w:ascii="宋体" w:hAnsi="宋体"/>
                <w:szCs w:val="21"/>
              </w:rPr>
            </w:pPr>
          </w:p>
        </w:tc>
        <w:tc>
          <w:tcPr>
            <w:tcW w:w="720" w:type="dxa"/>
            <w:vMerge w:val="restart"/>
            <w:tcBorders>
              <w:right w:val="single" w:sz="4" w:space="0" w:color="auto"/>
            </w:tcBorders>
            <w:vAlign w:val="center"/>
          </w:tcPr>
          <w:p>
            <w:pPr>
              <w:spacing w:line="240" w:lineRule="atLeast"/>
              <w:jc w:val="center"/>
              <w:rPr>
                <w:rFonts w:ascii="宋体" w:hAnsi="宋体"/>
                <w:szCs w:val="21"/>
              </w:rPr>
            </w:pPr>
            <w:r>
              <w:rPr>
                <w:rFonts w:ascii="宋体" w:hAnsi="宋体" w:hint="eastAsia"/>
                <w:szCs w:val="21"/>
              </w:rPr>
              <w:t>分项评价</w:t>
            </w:r>
          </w:p>
        </w:tc>
        <w:tc>
          <w:tcPr>
            <w:tcW w:w="720" w:type="dxa"/>
            <w:tcBorders>
              <w:left w:val="single" w:sz="4" w:space="0" w:color="auto"/>
              <w:right w:val="single" w:sz="4" w:space="0" w:color="auto"/>
            </w:tcBorders>
            <w:vAlign w:val="center"/>
          </w:tcPr>
          <w:p>
            <w:pPr>
              <w:spacing w:line="240" w:lineRule="atLeast"/>
              <w:jc w:val="center"/>
              <w:rPr>
                <w:rFonts w:ascii="宋体" w:hAnsi="宋体"/>
                <w:szCs w:val="21"/>
              </w:rPr>
            </w:pPr>
            <w:r>
              <w:rPr>
                <w:rFonts w:ascii="宋体" w:hAnsi="宋体" w:hint="eastAsia"/>
                <w:szCs w:val="21"/>
              </w:rPr>
              <w:t>质量方面</w:t>
            </w:r>
          </w:p>
        </w:tc>
        <w:tc>
          <w:tcPr>
            <w:tcW w:w="6635" w:type="dxa"/>
            <w:gridSpan w:val="3"/>
            <w:tcBorders>
              <w:left w:val="single" w:sz="4" w:space="0" w:color="auto"/>
            </w:tcBorders>
            <w:vAlign w:val="center"/>
          </w:tcPr>
          <w:p>
            <w:pPr>
              <w:spacing w:line="240" w:lineRule="atLeast"/>
              <w:jc w:val="center"/>
              <w:rPr>
                <w:rFonts w:ascii="宋体" w:hAnsi="宋体"/>
                <w:szCs w:val="21"/>
              </w:rPr>
            </w:pPr>
            <w:r>
              <w:rPr>
                <w:rFonts w:ascii="宋体" w:hAnsi="宋体" w:hint="eastAsia"/>
                <w:szCs w:val="21"/>
              </w:rPr>
              <w:t xml:space="preserve"> □ 优          □ 良          □ 中           □ 差</w:t>
            </w:r>
          </w:p>
        </w:tc>
      </w:tr>
      <w:tr>
        <w:tblPrEx>
          <w:tblW w:w="8917" w:type="dxa"/>
          <w:jc w:val="center"/>
          <w:tblLayout w:type="fixed"/>
          <w:tblCellMar>
            <w:top w:w="0" w:type="dxa"/>
            <w:left w:w="108" w:type="dxa"/>
            <w:bottom w:w="0" w:type="dxa"/>
            <w:right w:w="108" w:type="dxa"/>
          </w:tblCellMar>
        </w:tblPrEx>
        <w:trPr>
          <w:trHeight w:val="458"/>
          <w:jc w:val="center"/>
        </w:trPr>
        <w:tc>
          <w:tcPr>
            <w:tcW w:w="842" w:type="dxa"/>
            <w:vMerge/>
            <w:vAlign w:val="center"/>
          </w:tcPr>
          <w:p>
            <w:pPr>
              <w:spacing w:line="240" w:lineRule="atLeast"/>
              <w:jc w:val="center"/>
              <w:rPr>
                <w:rFonts w:ascii="宋体" w:hAnsi="宋体"/>
                <w:szCs w:val="21"/>
              </w:rPr>
            </w:pPr>
          </w:p>
        </w:tc>
        <w:tc>
          <w:tcPr>
            <w:tcW w:w="720" w:type="dxa"/>
            <w:vMerge/>
            <w:tcBorders>
              <w:right w:val="single" w:sz="4" w:space="0" w:color="auto"/>
            </w:tcBorders>
            <w:vAlign w:val="center"/>
          </w:tcPr>
          <w:p>
            <w:pPr>
              <w:spacing w:line="240" w:lineRule="atLeast"/>
              <w:jc w:val="center"/>
              <w:rPr>
                <w:rFonts w:ascii="宋体" w:hAnsi="宋体"/>
                <w:szCs w:val="21"/>
              </w:rPr>
            </w:pPr>
          </w:p>
        </w:tc>
        <w:tc>
          <w:tcPr>
            <w:tcW w:w="720" w:type="dxa"/>
            <w:tcBorders>
              <w:left w:val="single" w:sz="4" w:space="0" w:color="auto"/>
              <w:right w:val="single" w:sz="4" w:space="0" w:color="auto"/>
            </w:tcBorders>
            <w:vAlign w:val="center"/>
          </w:tcPr>
          <w:p>
            <w:pPr>
              <w:spacing w:line="240" w:lineRule="atLeast"/>
              <w:jc w:val="center"/>
              <w:rPr>
                <w:rFonts w:ascii="宋体" w:hAnsi="宋体"/>
                <w:szCs w:val="21"/>
              </w:rPr>
            </w:pPr>
            <w:r>
              <w:rPr>
                <w:rFonts w:ascii="宋体" w:hAnsi="宋体" w:hint="eastAsia"/>
                <w:szCs w:val="21"/>
              </w:rPr>
              <w:t>价格方面</w:t>
            </w:r>
          </w:p>
        </w:tc>
        <w:tc>
          <w:tcPr>
            <w:tcW w:w="6635" w:type="dxa"/>
            <w:gridSpan w:val="3"/>
            <w:tcBorders>
              <w:left w:val="single" w:sz="4" w:space="0" w:color="auto"/>
            </w:tcBorders>
            <w:vAlign w:val="center"/>
          </w:tcPr>
          <w:p>
            <w:pPr>
              <w:spacing w:line="240" w:lineRule="atLeast"/>
              <w:jc w:val="center"/>
              <w:rPr>
                <w:rFonts w:ascii="宋体" w:hAnsi="宋体"/>
                <w:szCs w:val="21"/>
              </w:rPr>
            </w:pPr>
            <w:r>
              <w:rPr>
                <w:rFonts w:ascii="宋体" w:hAnsi="宋体" w:hint="eastAsia"/>
                <w:szCs w:val="21"/>
              </w:rPr>
              <w:t xml:space="preserve"> □ 优          □ 良          □ 中           □ 差</w:t>
            </w:r>
          </w:p>
        </w:tc>
      </w:tr>
      <w:tr>
        <w:tblPrEx>
          <w:tblW w:w="8917" w:type="dxa"/>
          <w:jc w:val="center"/>
          <w:tblLayout w:type="fixed"/>
          <w:tblCellMar>
            <w:top w:w="0" w:type="dxa"/>
            <w:left w:w="108" w:type="dxa"/>
            <w:bottom w:w="0" w:type="dxa"/>
            <w:right w:w="108" w:type="dxa"/>
          </w:tblCellMar>
        </w:tblPrEx>
        <w:trPr>
          <w:trHeight w:val="458"/>
          <w:jc w:val="center"/>
        </w:trPr>
        <w:tc>
          <w:tcPr>
            <w:tcW w:w="842" w:type="dxa"/>
            <w:vMerge/>
            <w:vAlign w:val="center"/>
          </w:tcPr>
          <w:p>
            <w:pPr>
              <w:spacing w:line="240" w:lineRule="atLeast"/>
              <w:jc w:val="center"/>
              <w:rPr>
                <w:rFonts w:ascii="宋体" w:hAnsi="宋体"/>
                <w:szCs w:val="21"/>
              </w:rPr>
            </w:pPr>
          </w:p>
        </w:tc>
        <w:tc>
          <w:tcPr>
            <w:tcW w:w="720" w:type="dxa"/>
            <w:vMerge/>
            <w:tcBorders>
              <w:right w:val="single" w:sz="4" w:space="0" w:color="auto"/>
            </w:tcBorders>
            <w:vAlign w:val="center"/>
          </w:tcPr>
          <w:p>
            <w:pPr>
              <w:spacing w:line="240" w:lineRule="atLeast"/>
              <w:jc w:val="center"/>
              <w:rPr>
                <w:rFonts w:ascii="宋体" w:hAnsi="宋体"/>
                <w:szCs w:val="21"/>
              </w:rPr>
            </w:pPr>
          </w:p>
        </w:tc>
        <w:tc>
          <w:tcPr>
            <w:tcW w:w="720" w:type="dxa"/>
            <w:tcBorders>
              <w:left w:val="single" w:sz="4" w:space="0" w:color="auto"/>
              <w:right w:val="single" w:sz="4" w:space="0" w:color="auto"/>
            </w:tcBorders>
            <w:vAlign w:val="center"/>
          </w:tcPr>
          <w:p>
            <w:pPr>
              <w:spacing w:line="240" w:lineRule="atLeast"/>
              <w:jc w:val="center"/>
              <w:rPr>
                <w:rFonts w:ascii="宋体" w:hAnsi="宋体"/>
                <w:szCs w:val="21"/>
              </w:rPr>
            </w:pPr>
            <w:r>
              <w:rPr>
                <w:rFonts w:ascii="宋体" w:hAnsi="宋体" w:hint="eastAsia"/>
                <w:szCs w:val="21"/>
              </w:rPr>
              <w:t>服务方面</w:t>
            </w:r>
          </w:p>
        </w:tc>
        <w:tc>
          <w:tcPr>
            <w:tcW w:w="6635" w:type="dxa"/>
            <w:gridSpan w:val="3"/>
            <w:tcBorders>
              <w:left w:val="single" w:sz="4" w:space="0" w:color="auto"/>
            </w:tcBorders>
            <w:vAlign w:val="center"/>
          </w:tcPr>
          <w:p>
            <w:pPr>
              <w:spacing w:line="240" w:lineRule="atLeast"/>
              <w:jc w:val="center"/>
              <w:rPr>
                <w:rFonts w:ascii="宋体" w:hAnsi="宋体"/>
                <w:szCs w:val="21"/>
              </w:rPr>
            </w:pPr>
            <w:r>
              <w:rPr>
                <w:rFonts w:ascii="宋体" w:hAnsi="宋体" w:hint="eastAsia"/>
                <w:szCs w:val="21"/>
              </w:rPr>
              <w:t xml:space="preserve"> □ 优          □ 良          □ 中           □ 差</w:t>
            </w:r>
          </w:p>
        </w:tc>
      </w:tr>
      <w:tr>
        <w:tblPrEx>
          <w:tblW w:w="8917" w:type="dxa"/>
          <w:jc w:val="center"/>
          <w:tblLayout w:type="fixed"/>
          <w:tblCellMar>
            <w:top w:w="0" w:type="dxa"/>
            <w:left w:w="108" w:type="dxa"/>
            <w:bottom w:w="0" w:type="dxa"/>
            <w:right w:w="108" w:type="dxa"/>
          </w:tblCellMar>
        </w:tblPrEx>
        <w:trPr>
          <w:trHeight w:val="458"/>
          <w:jc w:val="center"/>
        </w:trPr>
        <w:tc>
          <w:tcPr>
            <w:tcW w:w="842" w:type="dxa"/>
            <w:vMerge/>
            <w:vAlign w:val="center"/>
          </w:tcPr>
          <w:p>
            <w:pPr>
              <w:spacing w:line="240" w:lineRule="atLeast"/>
              <w:jc w:val="center"/>
              <w:rPr>
                <w:rFonts w:ascii="宋体" w:hAnsi="宋体"/>
                <w:szCs w:val="21"/>
              </w:rPr>
            </w:pPr>
          </w:p>
        </w:tc>
        <w:tc>
          <w:tcPr>
            <w:tcW w:w="720" w:type="dxa"/>
            <w:vMerge/>
            <w:tcBorders>
              <w:right w:val="single" w:sz="4" w:space="0" w:color="auto"/>
            </w:tcBorders>
            <w:vAlign w:val="center"/>
          </w:tcPr>
          <w:p>
            <w:pPr>
              <w:spacing w:line="240" w:lineRule="atLeast"/>
              <w:jc w:val="center"/>
              <w:rPr>
                <w:rFonts w:ascii="宋体" w:hAnsi="宋体"/>
                <w:szCs w:val="21"/>
              </w:rPr>
            </w:pPr>
          </w:p>
        </w:tc>
        <w:tc>
          <w:tcPr>
            <w:tcW w:w="720" w:type="dxa"/>
            <w:tcBorders>
              <w:left w:val="single" w:sz="4" w:space="0" w:color="auto"/>
              <w:right w:val="single" w:sz="4" w:space="0" w:color="auto"/>
            </w:tcBorders>
            <w:vAlign w:val="center"/>
          </w:tcPr>
          <w:p>
            <w:pPr>
              <w:spacing w:line="240" w:lineRule="atLeast"/>
              <w:jc w:val="center"/>
              <w:rPr>
                <w:rFonts w:ascii="宋体" w:hAnsi="宋体"/>
                <w:szCs w:val="21"/>
              </w:rPr>
            </w:pPr>
            <w:r>
              <w:rPr>
                <w:rFonts w:ascii="宋体" w:hAnsi="宋体" w:hint="eastAsia"/>
                <w:szCs w:val="21"/>
              </w:rPr>
              <w:t>时间方面</w:t>
            </w:r>
          </w:p>
        </w:tc>
        <w:tc>
          <w:tcPr>
            <w:tcW w:w="6635" w:type="dxa"/>
            <w:gridSpan w:val="3"/>
            <w:tcBorders>
              <w:left w:val="single" w:sz="4" w:space="0" w:color="auto"/>
            </w:tcBorders>
            <w:vAlign w:val="center"/>
          </w:tcPr>
          <w:p>
            <w:pPr>
              <w:spacing w:line="240" w:lineRule="atLeast"/>
              <w:jc w:val="center"/>
              <w:rPr>
                <w:rFonts w:ascii="宋体" w:hAnsi="宋体"/>
                <w:szCs w:val="21"/>
              </w:rPr>
            </w:pPr>
            <w:r>
              <w:rPr>
                <w:rFonts w:ascii="宋体" w:hAnsi="宋体" w:hint="eastAsia"/>
                <w:szCs w:val="21"/>
              </w:rPr>
              <w:t xml:space="preserve"> □ 优          □ 良          □ 中           □ 差</w:t>
            </w:r>
          </w:p>
        </w:tc>
      </w:tr>
      <w:tr>
        <w:tblPrEx>
          <w:tblW w:w="8917" w:type="dxa"/>
          <w:jc w:val="center"/>
          <w:tblLayout w:type="fixed"/>
          <w:tblCellMar>
            <w:top w:w="0" w:type="dxa"/>
            <w:left w:w="108" w:type="dxa"/>
            <w:bottom w:w="0" w:type="dxa"/>
            <w:right w:w="108" w:type="dxa"/>
          </w:tblCellMar>
        </w:tblPrEx>
        <w:trPr>
          <w:trHeight w:val="458"/>
          <w:jc w:val="center"/>
        </w:trPr>
        <w:tc>
          <w:tcPr>
            <w:tcW w:w="842" w:type="dxa"/>
            <w:vMerge/>
            <w:vAlign w:val="center"/>
          </w:tcPr>
          <w:p>
            <w:pPr>
              <w:spacing w:line="240" w:lineRule="atLeast"/>
              <w:jc w:val="center"/>
              <w:rPr>
                <w:rFonts w:ascii="宋体" w:hAnsi="宋体"/>
                <w:szCs w:val="21"/>
              </w:rPr>
            </w:pPr>
          </w:p>
        </w:tc>
        <w:tc>
          <w:tcPr>
            <w:tcW w:w="720" w:type="dxa"/>
            <w:vMerge/>
            <w:tcBorders>
              <w:right w:val="single" w:sz="4" w:space="0" w:color="auto"/>
            </w:tcBorders>
            <w:vAlign w:val="center"/>
          </w:tcPr>
          <w:p>
            <w:pPr>
              <w:spacing w:line="240" w:lineRule="atLeast"/>
              <w:jc w:val="center"/>
              <w:rPr>
                <w:rFonts w:ascii="宋体" w:hAnsi="宋体"/>
                <w:szCs w:val="21"/>
              </w:rPr>
            </w:pPr>
          </w:p>
        </w:tc>
        <w:tc>
          <w:tcPr>
            <w:tcW w:w="720" w:type="dxa"/>
            <w:tcBorders>
              <w:left w:val="single" w:sz="4" w:space="0" w:color="auto"/>
              <w:right w:val="single" w:sz="4" w:space="0" w:color="auto"/>
            </w:tcBorders>
            <w:vAlign w:val="center"/>
          </w:tcPr>
          <w:p>
            <w:pPr>
              <w:spacing w:line="240" w:lineRule="atLeast"/>
              <w:jc w:val="center"/>
              <w:rPr>
                <w:rFonts w:ascii="宋体" w:hAnsi="宋体"/>
                <w:szCs w:val="21"/>
              </w:rPr>
            </w:pPr>
            <w:r>
              <w:rPr>
                <w:rFonts w:ascii="宋体" w:hAnsi="宋体" w:hint="eastAsia"/>
                <w:szCs w:val="21"/>
              </w:rPr>
              <w:t>环境保护</w:t>
            </w:r>
          </w:p>
        </w:tc>
        <w:tc>
          <w:tcPr>
            <w:tcW w:w="6635" w:type="dxa"/>
            <w:gridSpan w:val="3"/>
            <w:tcBorders>
              <w:left w:val="single" w:sz="4" w:space="0" w:color="auto"/>
            </w:tcBorders>
            <w:vAlign w:val="center"/>
          </w:tcPr>
          <w:p>
            <w:pPr>
              <w:spacing w:line="240" w:lineRule="atLeast"/>
              <w:jc w:val="center"/>
              <w:rPr>
                <w:rFonts w:ascii="宋体" w:hAnsi="宋体"/>
                <w:szCs w:val="21"/>
              </w:rPr>
            </w:pPr>
            <w:r>
              <w:rPr>
                <w:rFonts w:ascii="宋体" w:hAnsi="宋体" w:hint="eastAsia"/>
                <w:szCs w:val="21"/>
              </w:rPr>
              <w:t xml:space="preserve"> □ 优          □ 良          □ 中           □ 差</w:t>
            </w:r>
          </w:p>
        </w:tc>
      </w:tr>
      <w:tr>
        <w:tblPrEx>
          <w:tblW w:w="8917" w:type="dxa"/>
          <w:jc w:val="center"/>
          <w:tblLayout w:type="fixed"/>
          <w:tblCellMar>
            <w:top w:w="0" w:type="dxa"/>
            <w:left w:w="108" w:type="dxa"/>
            <w:bottom w:w="0" w:type="dxa"/>
            <w:right w:w="108" w:type="dxa"/>
          </w:tblCellMar>
        </w:tblPrEx>
        <w:trPr>
          <w:trHeight w:val="458"/>
          <w:jc w:val="center"/>
        </w:trPr>
        <w:tc>
          <w:tcPr>
            <w:tcW w:w="842" w:type="dxa"/>
            <w:vMerge/>
            <w:vAlign w:val="center"/>
          </w:tcPr>
          <w:p>
            <w:pPr>
              <w:spacing w:line="240" w:lineRule="atLeast"/>
              <w:jc w:val="center"/>
              <w:rPr>
                <w:rFonts w:ascii="宋体" w:hAnsi="宋体"/>
                <w:szCs w:val="21"/>
              </w:rPr>
            </w:pPr>
          </w:p>
        </w:tc>
        <w:tc>
          <w:tcPr>
            <w:tcW w:w="720" w:type="dxa"/>
            <w:vMerge/>
            <w:tcBorders>
              <w:right w:val="single" w:sz="4" w:space="0" w:color="auto"/>
            </w:tcBorders>
            <w:vAlign w:val="center"/>
          </w:tcPr>
          <w:p>
            <w:pPr>
              <w:spacing w:line="240" w:lineRule="atLeast"/>
              <w:jc w:val="center"/>
              <w:rPr>
                <w:rFonts w:ascii="宋体" w:hAnsi="宋体"/>
                <w:szCs w:val="21"/>
              </w:rPr>
            </w:pPr>
          </w:p>
        </w:tc>
        <w:tc>
          <w:tcPr>
            <w:tcW w:w="720" w:type="dxa"/>
            <w:tcBorders>
              <w:left w:val="single" w:sz="4" w:space="0" w:color="auto"/>
              <w:right w:val="single" w:sz="4" w:space="0" w:color="auto"/>
            </w:tcBorders>
            <w:vAlign w:val="center"/>
          </w:tcPr>
          <w:p>
            <w:pPr>
              <w:spacing w:line="240" w:lineRule="atLeast"/>
              <w:jc w:val="center"/>
              <w:rPr>
                <w:rFonts w:ascii="宋体" w:hAnsi="宋体"/>
                <w:szCs w:val="21"/>
              </w:rPr>
            </w:pPr>
            <w:r>
              <w:rPr>
                <w:rFonts w:ascii="宋体" w:hAnsi="宋体" w:hint="eastAsia"/>
                <w:szCs w:val="21"/>
              </w:rPr>
              <w:t>其他</w:t>
            </w:r>
          </w:p>
        </w:tc>
        <w:tc>
          <w:tcPr>
            <w:tcW w:w="6635" w:type="dxa"/>
            <w:gridSpan w:val="3"/>
            <w:tcBorders>
              <w:left w:val="single" w:sz="4" w:space="0" w:color="auto"/>
            </w:tcBorders>
            <w:vAlign w:val="center"/>
          </w:tcPr>
          <w:p>
            <w:pPr>
              <w:spacing w:before="156" w:beforeLines="50" w:after="156" w:afterLines="50" w:line="240" w:lineRule="atLeast"/>
              <w:rPr>
                <w:rFonts w:ascii="宋体" w:hAnsi="宋体"/>
                <w:szCs w:val="21"/>
                <w:u w:val="single"/>
              </w:rPr>
            </w:pPr>
            <w:r>
              <w:rPr>
                <w:rFonts w:ascii="宋体" w:hAnsi="宋体" w:hint="eastAsia"/>
                <w:szCs w:val="21"/>
              </w:rPr>
              <w:t>评价内容为：</w:t>
            </w:r>
            <w:r>
              <w:rPr>
                <w:rFonts w:ascii="宋体" w:hAnsi="宋体" w:hint="eastAsia"/>
                <w:szCs w:val="21"/>
                <w:u w:val="single"/>
              </w:rPr>
              <w:t xml:space="preserve">                    </w:t>
            </w:r>
          </w:p>
          <w:p>
            <w:pPr>
              <w:spacing w:before="156" w:beforeLines="50" w:after="156" w:afterLines="50" w:line="240" w:lineRule="atLeast"/>
              <w:rPr>
                <w:rFonts w:ascii="宋体" w:hAnsi="宋体"/>
                <w:szCs w:val="21"/>
              </w:rPr>
            </w:pPr>
            <w:r>
              <w:rPr>
                <w:rFonts w:ascii="宋体" w:hAnsi="宋体" w:hint="eastAsia"/>
                <w:szCs w:val="21"/>
              </w:rPr>
              <w:t>评价等级为：  □ 优       □ 良        □ 中         □ 差</w:t>
            </w:r>
          </w:p>
        </w:tc>
      </w:tr>
      <w:tr>
        <w:tblPrEx>
          <w:tblW w:w="8917" w:type="dxa"/>
          <w:jc w:val="center"/>
          <w:tblLayout w:type="fixed"/>
          <w:tblCellMar>
            <w:top w:w="0" w:type="dxa"/>
            <w:left w:w="108" w:type="dxa"/>
            <w:bottom w:w="0" w:type="dxa"/>
            <w:right w:w="108" w:type="dxa"/>
          </w:tblCellMar>
        </w:tblPrEx>
        <w:trPr>
          <w:trHeight w:val="3261"/>
          <w:jc w:val="center"/>
        </w:trPr>
        <w:tc>
          <w:tcPr>
            <w:tcW w:w="1562" w:type="dxa"/>
            <w:gridSpan w:val="2"/>
            <w:vAlign w:val="center"/>
          </w:tcPr>
          <w:p>
            <w:pPr>
              <w:spacing w:line="240" w:lineRule="atLeast"/>
              <w:jc w:val="center"/>
              <w:rPr>
                <w:rFonts w:ascii="宋体" w:hAnsi="宋体"/>
                <w:szCs w:val="21"/>
              </w:rPr>
            </w:pPr>
            <w:r>
              <w:rPr>
                <w:rFonts w:ascii="宋体" w:hAnsi="宋体" w:hint="eastAsia"/>
                <w:szCs w:val="21"/>
              </w:rPr>
              <w:t>具体情况说明</w:t>
            </w:r>
          </w:p>
        </w:tc>
        <w:tc>
          <w:tcPr>
            <w:tcW w:w="7355" w:type="dxa"/>
            <w:gridSpan w:val="4"/>
          </w:tcPr>
          <w:p>
            <w:pPr>
              <w:spacing w:line="240" w:lineRule="atLeast"/>
              <w:rPr>
                <w:rFonts w:ascii="宋体" w:hAnsi="宋体"/>
                <w:szCs w:val="21"/>
              </w:rPr>
            </w:pPr>
          </w:p>
          <w:p>
            <w:pPr>
              <w:spacing w:line="240" w:lineRule="atLeast"/>
              <w:rPr>
                <w:rFonts w:ascii="宋体" w:hAnsi="宋体"/>
                <w:szCs w:val="21"/>
              </w:rPr>
            </w:pPr>
          </w:p>
          <w:p>
            <w:pPr>
              <w:spacing w:line="240" w:lineRule="atLeast"/>
              <w:rPr>
                <w:rFonts w:ascii="宋体" w:hAnsi="宋体"/>
                <w:szCs w:val="21"/>
              </w:rPr>
            </w:pPr>
          </w:p>
          <w:p>
            <w:pPr>
              <w:spacing w:line="240" w:lineRule="atLeast"/>
              <w:rPr>
                <w:rFonts w:ascii="宋体" w:hAnsi="宋体"/>
                <w:szCs w:val="21"/>
              </w:rPr>
            </w:pPr>
          </w:p>
          <w:p>
            <w:pPr>
              <w:spacing w:line="240" w:lineRule="atLeast"/>
              <w:rPr>
                <w:rFonts w:ascii="宋体" w:hAnsi="宋体"/>
                <w:szCs w:val="21"/>
              </w:rPr>
            </w:pPr>
          </w:p>
          <w:p>
            <w:pPr>
              <w:spacing w:line="240" w:lineRule="atLeast"/>
              <w:rPr>
                <w:rFonts w:ascii="宋体" w:hAnsi="宋体"/>
                <w:szCs w:val="21"/>
              </w:rPr>
            </w:pPr>
          </w:p>
          <w:p>
            <w:pPr>
              <w:spacing w:line="240" w:lineRule="atLeast"/>
              <w:rPr>
                <w:rFonts w:ascii="宋体" w:hAnsi="宋体"/>
                <w:szCs w:val="21"/>
              </w:rPr>
            </w:pPr>
          </w:p>
          <w:p>
            <w:pPr>
              <w:spacing w:line="240" w:lineRule="atLeast"/>
              <w:rPr>
                <w:rFonts w:ascii="宋体" w:hAnsi="宋体"/>
                <w:szCs w:val="21"/>
              </w:rPr>
            </w:pPr>
          </w:p>
        </w:tc>
      </w:tr>
      <w:tr>
        <w:tblPrEx>
          <w:tblW w:w="8917" w:type="dxa"/>
          <w:jc w:val="center"/>
          <w:tblLayout w:type="fixed"/>
          <w:tblCellMar>
            <w:top w:w="0" w:type="dxa"/>
            <w:left w:w="108" w:type="dxa"/>
            <w:bottom w:w="0" w:type="dxa"/>
            <w:right w:w="108" w:type="dxa"/>
          </w:tblCellMar>
        </w:tblPrEx>
        <w:trPr>
          <w:trHeight w:val="1809"/>
          <w:jc w:val="center"/>
        </w:trPr>
        <w:tc>
          <w:tcPr>
            <w:tcW w:w="1562" w:type="dxa"/>
            <w:gridSpan w:val="2"/>
            <w:vAlign w:val="center"/>
          </w:tcPr>
          <w:p>
            <w:pPr>
              <w:spacing w:line="240" w:lineRule="atLeast"/>
              <w:jc w:val="center"/>
              <w:rPr>
                <w:rFonts w:ascii="宋体" w:hAnsi="宋体"/>
                <w:szCs w:val="21"/>
              </w:rPr>
            </w:pPr>
            <w:r>
              <w:rPr>
                <w:rFonts w:ascii="宋体" w:hAnsi="宋体" w:hint="eastAsia"/>
                <w:szCs w:val="21"/>
              </w:rPr>
              <w:t>采购人意见</w:t>
            </w:r>
          </w:p>
          <w:p>
            <w:pPr>
              <w:spacing w:line="240" w:lineRule="atLeast"/>
              <w:jc w:val="center"/>
              <w:rPr>
                <w:rFonts w:ascii="宋体" w:hAnsi="宋体"/>
                <w:szCs w:val="21"/>
              </w:rPr>
            </w:pPr>
            <w:r>
              <w:rPr>
                <w:rFonts w:ascii="宋体" w:hAnsi="宋体" w:hint="eastAsia"/>
                <w:szCs w:val="21"/>
              </w:rPr>
              <w:t>（公章）</w:t>
            </w:r>
          </w:p>
        </w:tc>
        <w:tc>
          <w:tcPr>
            <w:tcW w:w="7355" w:type="dxa"/>
            <w:gridSpan w:val="4"/>
            <w:vAlign w:val="center"/>
          </w:tcPr>
          <w:p>
            <w:pPr>
              <w:spacing w:line="240" w:lineRule="atLeast"/>
              <w:rPr>
                <w:rFonts w:ascii="宋体" w:hAnsi="宋体"/>
                <w:szCs w:val="21"/>
              </w:rPr>
            </w:pPr>
          </w:p>
          <w:p>
            <w:pPr>
              <w:spacing w:line="240" w:lineRule="atLeast"/>
              <w:rPr>
                <w:rFonts w:ascii="宋体" w:hAnsi="宋体"/>
                <w:szCs w:val="21"/>
              </w:rPr>
            </w:pPr>
            <w:r>
              <w:rPr>
                <w:rFonts w:ascii="宋体" w:hAnsi="宋体" w:hint="eastAsia"/>
                <w:szCs w:val="21"/>
              </w:rPr>
              <w:t xml:space="preserve">                                        </w:t>
            </w:r>
          </w:p>
          <w:p>
            <w:pPr>
              <w:spacing w:line="240" w:lineRule="atLeast"/>
              <w:ind w:firstLine="3780" w:firstLineChars="1800"/>
              <w:rPr>
                <w:rFonts w:ascii="宋体" w:hAnsi="宋体"/>
                <w:szCs w:val="21"/>
              </w:rPr>
            </w:pPr>
          </w:p>
          <w:p>
            <w:pPr>
              <w:spacing w:line="240" w:lineRule="atLeast"/>
              <w:ind w:firstLine="3780" w:firstLineChars="1800"/>
              <w:rPr>
                <w:rFonts w:ascii="宋体" w:hAnsi="宋体"/>
                <w:szCs w:val="21"/>
              </w:rPr>
            </w:pPr>
            <w:r>
              <w:rPr>
                <w:rFonts w:ascii="宋体" w:hAnsi="宋体" w:hint="eastAsia"/>
                <w:szCs w:val="21"/>
              </w:rPr>
              <w:t>日期：   年   月   日</w:t>
            </w:r>
          </w:p>
        </w:tc>
      </w:tr>
    </w:tbl>
    <w:p>
      <w:pPr>
        <w:spacing w:line="240" w:lineRule="atLeast"/>
        <w:rPr>
          <w:rFonts w:ascii="宋体" w:hAnsi="宋体"/>
          <w:szCs w:val="21"/>
        </w:rPr>
      </w:pPr>
      <w:r>
        <w:rPr>
          <w:rFonts w:ascii="宋体" w:hAnsi="宋体" w:hint="eastAsia"/>
          <w:szCs w:val="21"/>
        </w:rPr>
        <w:t>说明：</w:t>
      </w:r>
    </w:p>
    <w:p>
      <w:pPr>
        <w:spacing w:line="240" w:lineRule="atLeast"/>
        <w:rPr>
          <w:rFonts w:ascii="宋体" w:hAnsi="宋体"/>
          <w:szCs w:val="21"/>
        </w:rPr>
      </w:pPr>
      <w:r>
        <w:rPr>
          <w:rFonts w:ascii="宋体" w:hAnsi="宋体" w:hint="eastAsia"/>
          <w:szCs w:val="21"/>
        </w:rPr>
        <w:t>履约情况评价分为优、良、中、差四个等级，请在对应的框前打“√”，然后在“具体情况说明”一栏详细说明有关情况。</w:t>
      </w:r>
      <w:r>
        <w:rPr>
          <w:rFonts w:ascii="宋体" w:hAnsi="宋体"/>
          <w:szCs w:val="21"/>
        </w:rPr>
        <w:tab/>
      </w:r>
      <w:r>
        <w:rPr>
          <w:rFonts w:ascii="宋体" w:hAnsi="宋体"/>
          <w:szCs w:val="21"/>
        </w:rPr>
        <w:tab/>
      </w:r>
    </w:p>
    <w:p>
      <w:pPr>
        <w:spacing w:line="240" w:lineRule="atLeast"/>
        <w:rPr>
          <w:rFonts w:ascii="宋体" w:hAnsi="宋体"/>
          <w:szCs w:val="21"/>
        </w:rPr>
        <w:sectPr>
          <w:footerReference w:type="default" r:id="rId11"/>
          <w:pgSz w:w="11906" w:h="16838"/>
          <w:pgMar w:top="1440" w:right="1417" w:bottom="1440" w:left="1417" w:header="851" w:footer="992" w:gutter="0"/>
          <w:cols w:num="1" w:space="720"/>
          <w:titlePg/>
          <w:docGrid w:type="lines" w:linePitch="312" w:charSpace="0"/>
        </w:sectPr>
      </w:pPr>
    </w:p>
    <w:p>
      <w:pPr>
        <w:jc w:val="center"/>
        <w:rPr>
          <w:rFonts w:ascii="宋体" w:hAnsi="宋体"/>
          <w:b/>
          <w:bCs/>
          <w:kern w:val="0"/>
          <w:sz w:val="24"/>
          <w:szCs w:val="20"/>
        </w:rPr>
      </w:pPr>
      <w:r>
        <w:rPr>
          <w:rFonts w:ascii="宋体" w:hAnsi="宋体" w:hint="eastAsia"/>
          <w:b/>
          <w:bCs/>
          <w:kern w:val="0"/>
          <w:sz w:val="24"/>
          <w:szCs w:val="20"/>
        </w:rPr>
        <w:t>第五章  附件</w:t>
      </w:r>
    </w:p>
    <w:p>
      <w:pPr>
        <w:jc w:val="center"/>
        <w:rPr>
          <w:rFonts w:ascii="宋体" w:hAnsi="宋体"/>
          <w:b/>
          <w:bCs/>
          <w:kern w:val="0"/>
          <w:sz w:val="24"/>
          <w:szCs w:val="20"/>
        </w:rPr>
      </w:pPr>
    </w:p>
    <w:p>
      <w:pPr>
        <w:pStyle w:val="Heading3"/>
        <w:spacing w:before="0" w:after="0"/>
        <w:jc w:val="center"/>
      </w:pPr>
      <w:bookmarkStart w:id="19" w:name="_Toc73610162"/>
      <w:bookmarkStart w:id="20" w:name="_Toc73613644"/>
      <w:r>
        <w:rPr>
          <w:rFonts w:hint="eastAsia"/>
        </w:rPr>
        <w:t>一、财政部 工业和信息化部关于印发《政府采购促进中小企业发展管理办法》的通知</w:t>
      </w:r>
      <w:bookmarkEnd w:id="19"/>
      <w:bookmarkEnd w:id="20"/>
    </w:p>
    <w:p>
      <w:pPr>
        <w:pStyle w:val="NormalWeb"/>
        <w:shd w:val="clear" w:color="auto" w:fill="FFFFFF"/>
        <w:spacing w:line="360" w:lineRule="auto"/>
        <w:jc w:val="center"/>
        <w:rPr>
          <w:rFonts w:asciiTheme="minorEastAsia" w:eastAsiaTheme="minorEastAsia" w:hAnsiTheme="minorEastAsia"/>
          <w:color w:val="000000"/>
          <w:sz w:val="21"/>
          <w:szCs w:val="21"/>
        </w:rPr>
      </w:pPr>
      <w:r>
        <w:rPr>
          <w:rFonts w:asciiTheme="minorEastAsia" w:eastAsiaTheme="minorEastAsia" w:hAnsiTheme="minorEastAsia" w:hint="eastAsia"/>
          <w:color w:val="000000"/>
          <w:sz w:val="21"/>
          <w:szCs w:val="21"/>
        </w:rPr>
        <w:t>财库〔2020〕46号</w:t>
      </w:r>
    </w:p>
    <w:p>
      <w:pPr>
        <w:pStyle w:val="NormalWeb"/>
        <w:shd w:val="clear" w:color="auto" w:fill="FFFFFF"/>
        <w:spacing w:before="0" w:beforeAutospacing="0" w:after="0" w:afterAutospacing="0" w:line="360" w:lineRule="auto"/>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各中央预算单位办公厅（室），各省、自治区、直辖市、计划单列市财政厅（局）、工业和信息化主管部门，新疆生产建设兵团财政局、工业和信息化主管部门：</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为贯彻落实《关于促进中小企业健康发展的指导意见》，发挥政府采购政策功能，促进中小企业发展，根据《中华人民共和国政府采购法》、《中华人民共和国中小企业促进法》等法律法规，财政部、工业和信息化部制定了《政府采购促进中小企业发展管理办法》。现印发给你们，请遵照执行。</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附件：政府采购促进中小企业发展管理办法</w:t>
      </w:r>
    </w:p>
    <w:p>
      <w:pPr>
        <w:pStyle w:val="NormalWeb"/>
        <w:shd w:val="clear" w:color="auto" w:fill="FFFFFF"/>
        <w:spacing w:before="0" w:beforeAutospacing="0" w:after="0" w:afterAutospacing="0" w:line="360" w:lineRule="auto"/>
        <w:jc w:val="right"/>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财　　政　　部</w:t>
      </w:r>
    </w:p>
    <w:p>
      <w:pPr>
        <w:pStyle w:val="NormalWeb"/>
        <w:shd w:val="clear" w:color="auto" w:fill="FFFFFF"/>
        <w:spacing w:before="0" w:beforeAutospacing="0" w:after="0" w:afterAutospacing="0" w:line="360" w:lineRule="auto"/>
        <w:jc w:val="right"/>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工业和信息化部</w:t>
      </w:r>
    </w:p>
    <w:p>
      <w:pPr>
        <w:pStyle w:val="NormalWeb"/>
        <w:shd w:val="clear" w:color="auto" w:fill="FFFFFF"/>
        <w:spacing w:before="0" w:beforeAutospacing="0" w:after="0" w:afterAutospacing="0" w:line="360" w:lineRule="auto"/>
        <w:jc w:val="right"/>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2020年12月18日</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p>
    <w:p>
      <w:pPr>
        <w:pStyle w:val="NormalWeb"/>
        <w:shd w:val="clear" w:color="auto" w:fill="FFFFFF"/>
        <w:spacing w:before="0" w:beforeAutospacing="0" w:after="0" w:afterAutospacing="0" w:line="360" w:lineRule="auto"/>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附件</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p>
    <w:p>
      <w:pPr>
        <w:pStyle w:val="NormalWeb"/>
        <w:shd w:val="clear" w:color="auto" w:fill="FFFFFF"/>
        <w:spacing w:before="0" w:beforeAutospacing="0" w:after="0" w:afterAutospacing="0" w:line="360" w:lineRule="auto"/>
        <w:jc w:val="center"/>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政府采购促进中小企业发展管理办法</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第一条</w:t>
      </w:r>
      <w:r>
        <w:rPr>
          <w:rFonts w:asciiTheme="minorEastAsia" w:eastAsiaTheme="minorEastAsia" w:hAnsiTheme="minorEastAsia" w:hint="eastAsia"/>
          <w:color w:val="333333"/>
          <w:sz w:val="21"/>
          <w:szCs w:val="21"/>
        </w:rPr>
        <w:t>　为了发挥政府采购的政策功能，促进中小企业健康发展，根据《中华人民共和国政府采购法》、《中华人民共和国中小企业促进法》等有关法律法规，制定本办法。</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第二条</w:t>
      </w:r>
      <w:r>
        <w:rPr>
          <w:rFonts w:asciiTheme="minorEastAsia" w:eastAsiaTheme="minorEastAsia" w:hAnsiTheme="minorEastAsia" w:hint="eastAsia"/>
          <w:color w:val="333333"/>
          <w:sz w:val="21"/>
          <w:szCs w:val="21"/>
        </w:rPr>
        <w:t>　本办法所称中小企业，是指在中华人民共和国境内依法设立，依据国务院批准的中小企业划分标准确定的中型企业、小型企业和微型企业，但与大企业的负责人为同一人，或者与大企业存在直接控股、管理关系的除外。</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符合中小企业划分标准的个体工商户，在政府采购活动中视同中小企业。</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第三条</w:t>
      </w:r>
      <w:r>
        <w:rPr>
          <w:rFonts w:asciiTheme="minorEastAsia" w:eastAsiaTheme="minorEastAsia" w:hAnsiTheme="minorEastAsia" w:hint="eastAsia"/>
          <w:color w:val="333333"/>
          <w:sz w:val="21"/>
          <w:szCs w:val="21"/>
        </w:rPr>
        <w:t>　采购人在政府采购活动中应当通过加强采购需求管理，落实预留采购份额、价格评审优惠、优先采购等措施，提高中小企业在政府采购中的份额，支持中小企业发展。</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第四条</w:t>
      </w:r>
      <w:r>
        <w:rPr>
          <w:rFonts w:asciiTheme="minorEastAsia" w:eastAsiaTheme="minorEastAsia" w:hAnsiTheme="minorEastAsia" w:hint="eastAsia"/>
          <w:color w:val="333333"/>
          <w:sz w:val="21"/>
          <w:szCs w:val="21"/>
        </w:rPr>
        <w:t>　在政府采购活动中，供应商提供的货物、工程或者服务符合下列情形的，享受本办法规定的中小企业扶持政策：</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（一）在货物采购项目中，货物由中小企业制造，即货物由中小企业生产且使用该中小企业商号或者注册商标；</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（二）在工程采购项目中，工程由中小企业承建，即工程施工单位为中小企业；</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（三）在服务采购项目中，服务由中小企业承接，即提供服务的人员为中小企业依照《中华人民共和国劳动合同法》订立劳动合同的从业人员。</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在货物采购项目中，供应商提供的货物既有中小企业制造货物，也有大型企业制造货物的，不享受本办法规定的中小企业扶持政策。</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以联合体形式参加政府采购活动，联合体各方均为中小企业的，联合体视同中小企业。其中，联合体各方均为小微企业的，联合体视同小微企业。</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第五条</w:t>
      </w:r>
      <w:r>
        <w:rPr>
          <w:rFonts w:asciiTheme="minorEastAsia" w:eastAsiaTheme="minorEastAsia" w:hAnsiTheme="minorEastAsia" w:hint="eastAsia"/>
          <w:color w:val="333333"/>
          <w:sz w:val="21"/>
          <w:szCs w:val="21"/>
        </w:rPr>
        <w:t>　采购人在政府采购活动中应当合理确定采购项目的采购需求，不得以企业注册资本、资产总额、营业收入、从业人员、利润、纳税额等规模条件和财务指标作为供应商的资格要求或者评审因素，不得在企业股权结构、经营年限等方面对中小企业实行差别待遇或者歧视待遇。</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第六条</w:t>
      </w:r>
      <w:r>
        <w:rPr>
          <w:rFonts w:asciiTheme="minorEastAsia" w:eastAsiaTheme="minorEastAsia" w:hAnsiTheme="minorEastAsia" w:hint="eastAsia"/>
          <w:color w:val="333333"/>
          <w:sz w:val="21"/>
          <w:szCs w:val="21"/>
        </w:rPr>
        <w:t>　主管预算单位应当组织评估本部门及所属单位政府采购项目，统筹制定面向中小企业预留采购份额的具体方案，对适宜由中小企业提供的采购项目和采购包，预留采购份额专门面向中小企业采购，并在政府采购预算中单独列示。</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符合下列情形之一的，可不专门面向中小企业预留采购份额：</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（一）法律法规和国家有关政策明确规定优先或者应当面向事业单位、社会组织等非企业主体采购的；</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（二）因确需使用不可替代的专利、专有技术，基础设施限制，或者提供特定公共服务等原因，只能从中小企业之外的供应商处采购的；</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（三）按照本办法规定预留采购份额无法确保充分供应、充分竞争，或者存在可能影响政府采购目标实现的情形；</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（四）框架协议采购项目；</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（五）省级以上人民政府财政部门规定的其他情形。</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除上述情形外，其他均为适宜由中小企业提供的情形。</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第七条</w:t>
      </w:r>
      <w:r>
        <w:rPr>
          <w:rFonts w:asciiTheme="minorEastAsia" w:eastAsiaTheme="minorEastAsia" w:hAnsiTheme="minorEastAsia" w:hint="eastAsia"/>
          <w:color w:val="333333"/>
          <w:sz w:val="21"/>
          <w:szCs w:val="21"/>
        </w:rPr>
        <w:t>　采购限额标准以上，200万元以下的货物和服务采购项目、400万元以下的工程采购项目，适宜由中小企业提供的，采购人应当专门面向中小企业采购。</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第八条</w:t>
      </w:r>
      <w:r>
        <w:rPr>
          <w:rFonts w:asciiTheme="minorEastAsia" w:eastAsiaTheme="minorEastAsia" w:hAnsiTheme="minorEastAsia" w:hint="eastAsia"/>
          <w:color w:val="333333"/>
          <w:sz w:val="21"/>
          <w:szCs w:val="21"/>
        </w:rPr>
        <w:t>　超过200万元的货物和服务采购项目、超过400万元的工程采购项目中适宜由中小企业提供的，预留该部分采购项目预算总额的30%以上专门面向中小企业采购，其中预留给小微企业的比例不低于60%。预留份额通过下列措施进行：</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（一）将采购项目整体或者设置采购包专门面向中小企业采购；</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（二）要求供应商以联合体形式参加采购活动，且联合体中中小企业承担的部分达到一定比例；</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（三）要求获得采购合同的供应商将采购项目中的一定比例分包给一家或者多家中小企业。</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组成联合体或者接受分包合同的中小企业与联合体内其他企业、分包企业之间不得存在直接控股、管理关系。</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第九条</w:t>
      </w:r>
      <w:r>
        <w:rPr>
          <w:rFonts w:asciiTheme="minorEastAsia" w:eastAsiaTheme="minorEastAsia" w:hAnsiTheme="minorEastAsia" w:hint="eastAsia"/>
          <w:color w:val="333333"/>
          <w:sz w:val="21"/>
          <w:szCs w:val="21"/>
        </w:rPr>
        <w:t>　对于经主管预算单位统筹后未预留份额专门面向中小企业采购的采购项目，以及预留份额项目中的非预留部分采购包，采购人、采购代理机构应当对符合本办法规定的小微企业报价给予6%—10%（工程项目为3%—5%）的扣除，用扣除后的价格参加评审。适用招标投标法的政府采购工程建设项目，采用综合评估法但未采用低价优先法计算价格分的，评标时应当在采用原报价进行评分的基础上增加其价格得分的3%—5%作为其价格分。</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接受大中型企业与小微企业组成联合体或者允许大中型企业向一家或者多家小微企业分包的采购项目，对于联合协议或者分包意向协议约定小微企业的合同份额占到合同总金额30%以上的，采购人、采购代理机构应当对联合体或者大中型企业的报价给予2%-3%（工程项目为1%—2%）的扣除，用扣除后的价格参加评审。适用招标投标法的政府采购工程建设项目，采用综合评估法但未采用低价优先法计算价格分的，评标时应当在采用原报价进行评分的基础上增加其价格得分的1%—2%作为其价格分。组成联合体或者接受分包的小微企业与联合体内其他企业、分包企业之间存在直接控股、管理关系的，不享受价格扣除优惠政策。</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价格扣除比例或者价格分加分比例对小型企业和微型企业同等对待，不作区分。具体采购项目的价格扣除比例或者价格分加分比例，由采购人根据采购标的相关行业平均利润率、市场竞争状况等，在本办法规定的幅度内确定。</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第十条</w:t>
      </w:r>
      <w:r>
        <w:rPr>
          <w:rFonts w:asciiTheme="minorEastAsia" w:eastAsiaTheme="minorEastAsia" w:hAnsiTheme="minorEastAsia" w:hint="eastAsia"/>
          <w:color w:val="333333"/>
          <w:sz w:val="21"/>
          <w:szCs w:val="21"/>
        </w:rPr>
        <w:t>　采购人应当严格按照本办法规定和主管预算单位制定的预留采购份额具体方案开展采购活动。预留份额的采购项目或者采购包，通过发布公告方式邀请供应商后，符合资格条件的中小企业数量不足3家的，应当中止采购活动，视同未预留份额的采购项目或者采购包，按照本办法第九条有关规定重新组织采购活动。</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第十一条</w:t>
      </w:r>
      <w:r>
        <w:rPr>
          <w:rFonts w:asciiTheme="minorEastAsia" w:eastAsiaTheme="minorEastAsia" w:hAnsiTheme="minorEastAsia" w:hint="eastAsia"/>
          <w:color w:val="333333"/>
          <w:sz w:val="21"/>
          <w:szCs w:val="21"/>
        </w:rPr>
        <w:t>　中小企业参加政府采购活动，应当出具本办法规定的《中小企业声明函》（附1），否则不得享受相关中小企业扶持政策。任何单位和个人不得要求供应商提供《中小企业声明函》之外的中小企业身份证明文件。</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第十二条</w:t>
      </w:r>
      <w:r>
        <w:rPr>
          <w:rFonts w:asciiTheme="minorEastAsia" w:eastAsiaTheme="minorEastAsia" w:hAnsiTheme="minorEastAsia" w:hint="eastAsia"/>
          <w:color w:val="333333"/>
          <w:sz w:val="21"/>
          <w:szCs w:val="21"/>
        </w:rPr>
        <w:t>　采购项目涉及中小企业采购的，采购文件应当明确以下内容：</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（一）预留份额的采购项目或者采购包，明确该项目或相关采购包专门面向中小企业采购，以及相关标的及预算金额；</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（二）要求以联合体形式参加或者合同分包的，明确联合协议或者分包意向协议中中小企业合同金额应当达到的比例，并作为供应商资格条件；</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（三）非预留份额的采购项目或者采购包，明确有关价格扣除比例或者价格分加分比例；</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（四）规定依据本办法规定享受扶持政策获得政府采购合同的，小微企业不得将合同分包给大中型企业，中型企业不得将合同分包给大型企业；</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（五）采购人认为具备相关条件的，明确对中小企业在资金支付期限、预付款比例等方面的优惠措施；</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（六）明确采购标的对应的中小企业划分标准所属行业；</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（七）法律法规和省级以上人民政府财政部门规定的其他事项。</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第十三条</w:t>
      </w:r>
      <w:r>
        <w:rPr>
          <w:rFonts w:asciiTheme="minorEastAsia" w:eastAsiaTheme="minorEastAsia" w:hAnsiTheme="minorEastAsia" w:hint="eastAsia"/>
          <w:color w:val="333333"/>
          <w:sz w:val="21"/>
          <w:szCs w:val="21"/>
        </w:rPr>
        <w:t>　中标、成交供应商享受本办法规定的中小企业扶持政策的，采购人、采购代理机构应当随中标、成交结果公开中标、成交供应商的《中小企业声明函》。</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适用招标投标法的政府采购工程建设项目，应当在公示中标候选人时公开中标候选人的《中小企业声明函》。</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第十四条</w:t>
      </w:r>
      <w:r>
        <w:rPr>
          <w:rFonts w:asciiTheme="minorEastAsia" w:eastAsiaTheme="minorEastAsia" w:hAnsiTheme="minorEastAsia" w:hint="eastAsia"/>
          <w:color w:val="333333"/>
          <w:sz w:val="21"/>
          <w:szCs w:val="21"/>
        </w:rPr>
        <w:t>　对于通过预留采购项目、预留专门采购包、要求以联合体形式参加或者合同分包等措施签订的采购合同，应当明确标注本合同为中小企业预留合同。其中，要求以联合体形式参加采购活动或者合同分包的，应当将联合协议或者分包意向协议作为采购合同的组成部分。</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第十五条</w:t>
      </w:r>
      <w:r>
        <w:rPr>
          <w:rFonts w:asciiTheme="minorEastAsia" w:eastAsiaTheme="minorEastAsia" w:hAnsiTheme="minorEastAsia" w:hint="eastAsia"/>
          <w:color w:val="333333"/>
          <w:sz w:val="21"/>
          <w:szCs w:val="21"/>
        </w:rPr>
        <w:t>　鼓励各地区、各部门在采购活动中允许中小企业引入信用担保手段，为中小企业在投标（响应）保证、履约保证等方面提供专业化服务。鼓励中小企业依法合规通过政府采购合同融资。</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第十六条</w:t>
      </w:r>
      <w:r>
        <w:rPr>
          <w:rFonts w:asciiTheme="minorEastAsia" w:eastAsiaTheme="minorEastAsia" w:hAnsiTheme="minorEastAsia" w:hint="eastAsia"/>
          <w:color w:val="333333"/>
          <w:sz w:val="21"/>
          <w:szCs w:val="21"/>
        </w:rPr>
        <w:t>　政府采购监督检查、投诉处理及政府采购行政处罚中对中小企业的认定，由货物制造商或者工程、服务供应商注册登记所在地的县级以上人民政府中小企业主管部门负责。</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中小企业主管部门应当在收到财政部门或者有关招标投标行政监督部门关于协助开展中小企业认定函后10个工作日内做出书面答复。</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第十七条</w:t>
      </w:r>
      <w:r>
        <w:rPr>
          <w:rFonts w:asciiTheme="minorEastAsia" w:eastAsiaTheme="minorEastAsia" w:hAnsiTheme="minorEastAsia" w:hint="eastAsia"/>
          <w:color w:val="333333"/>
          <w:sz w:val="21"/>
          <w:szCs w:val="21"/>
        </w:rPr>
        <w:t>　各地区、各部门应当对涉及中小企业采购的预算项目实施全过程绩效管理，合理设置绩效目标和指标，落实扶持中小企业有关政策要求，定期开展绩效监控和评价，强化绩效评价结果应用。</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第十八条</w:t>
      </w:r>
      <w:r>
        <w:rPr>
          <w:rFonts w:asciiTheme="minorEastAsia" w:eastAsiaTheme="minorEastAsia" w:hAnsiTheme="minorEastAsia" w:hint="eastAsia"/>
          <w:color w:val="333333"/>
          <w:sz w:val="21"/>
          <w:szCs w:val="21"/>
        </w:rPr>
        <w:t>　主管预算单位应当自2022年起向同级财政部门报告本部门上一年度面向中小企业预留份额和采购的具体情况，并在中国政府采购网公开预留项目执行情况（附2）。未达到本办法规定的预留份额比例的，应当作出说明。</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第十九条</w:t>
      </w:r>
      <w:r>
        <w:rPr>
          <w:rFonts w:asciiTheme="minorEastAsia" w:eastAsiaTheme="minorEastAsia" w:hAnsiTheme="minorEastAsia" w:hint="eastAsia"/>
          <w:color w:val="333333"/>
          <w:sz w:val="21"/>
          <w:szCs w:val="21"/>
        </w:rPr>
        <w:t>　采购人未按本办法规定为中小企业预留采购份额，采购人、采购代理机构未按照本办法规定要求实施价格扣除或者价格分加分的，属于未按照规定执行政府采购政策，依照《中华人民共和国政府采购法》等国家有关规定追究法律责任。</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第二十条</w:t>
      </w:r>
      <w:r>
        <w:rPr>
          <w:rFonts w:asciiTheme="minorEastAsia" w:eastAsiaTheme="minorEastAsia" w:hAnsiTheme="minorEastAsia" w:hint="eastAsia"/>
          <w:color w:val="333333"/>
          <w:sz w:val="21"/>
          <w:szCs w:val="21"/>
        </w:rPr>
        <w:t>　供应商按照本办法规定提供声明函内容不实的，属于提供虚假材料谋取中标、成交，依照《中华人民共和国政府采购法》等国家有关规定追究相应责任。</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color w:val="333333"/>
          <w:sz w:val="21"/>
          <w:szCs w:val="21"/>
        </w:rPr>
        <w:t>适用招标投标法的政府采购工程建设项目，投标人按照本办法规定提供声明函内容不实的，属于弄虚作假骗取中标，依照《中华人民共和国招标投标法》等国家有关规定追究相应责任。</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第二十一条</w:t>
      </w:r>
      <w:r>
        <w:rPr>
          <w:rFonts w:asciiTheme="minorEastAsia" w:eastAsiaTheme="minorEastAsia" w:hAnsiTheme="minorEastAsia" w:hint="eastAsia"/>
          <w:color w:val="333333"/>
          <w:sz w:val="21"/>
          <w:szCs w:val="21"/>
        </w:rPr>
        <w:t>　财政部门、中小企业主管部门及其工作人员在履行职责中违反本办法规定及存在其他滥用职权、玩忽职守、徇私舞弊等违法违纪行为的，依照《中华人民共和国政府采购法》、《中华人民共和国公务员法》、《中华人民共和国监察法》、《中华人民共和国政府采购法实施条例》等国家有关规定追究相应责任；涉嫌犯罪的，依法移送有关国家机关处理。</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第二十二条</w:t>
      </w:r>
      <w:r>
        <w:rPr>
          <w:rFonts w:asciiTheme="minorEastAsia" w:eastAsiaTheme="minorEastAsia" w:hAnsiTheme="minorEastAsia" w:hint="eastAsia"/>
          <w:color w:val="333333"/>
          <w:sz w:val="21"/>
          <w:szCs w:val="21"/>
        </w:rPr>
        <w:t>　对外援助项目、国家相关资格或者资质管理制度另有规定的项目，不适用本办法。</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第二十三条</w:t>
      </w:r>
      <w:r>
        <w:rPr>
          <w:rFonts w:asciiTheme="minorEastAsia" w:eastAsiaTheme="minorEastAsia" w:hAnsiTheme="minorEastAsia" w:hint="eastAsia"/>
          <w:color w:val="333333"/>
          <w:sz w:val="21"/>
          <w:szCs w:val="21"/>
        </w:rPr>
        <w:t>　关于视同中小企业的其他主体的政府采购扶持政策，由财政部会同有关部门另行规定。</w:t>
      </w:r>
    </w:p>
    <w:p>
      <w:pPr>
        <w:pStyle w:val="NormalWeb"/>
        <w:shd w:val="clear" w:color="auto" w:fill="FFFFFF"/>
        <w:spacing w:before="0" w:beforeAutospacing="0" w:after="0" w:afterAutospacing="0" w:line="360" w:lineRule="auto"/>
        <w:ind w:firstLine="480"/>
        <w:jc w:val="both"/>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第二十四条</w:t>
      </w:r>
      <w:r>
        <w:rPr>
          <w:rFonts w:asciiTheme="minorEastAsia" w:eastAsiaTheme="minorEastAsia" w:hAnsiTheme="minorEastAsia" w:hint="eastAsia"/>
          <w:color w:val="333333"/>
          <w:sz w:val="21"/>
          <w:szCs w:val="21"/>
        </w:rPr>
        <w:t>　省级财政部门可以会同中小企业主管部门根据本办法的规定制定具体实施办法。</w:t>
      </w:r>
    </w:p>
    <w:p>
      <w:pPr>
        <w:pStyle w:val="NormalWeb"/>
        <w:shd w:val="clear" w:color="auto" w:fill="FFFFFF"/>
        <w:spacing w:before="0" w:beforeAutospacing="0" w:after="0" w:afterAutospacing="0" w:line="360" w:lineRule="auto"/>
        <w:ind w:firstLine="480"/>
        <w:rPr>
          <w:rFonts w:asciiTheme="minorEastAsia" w:eastAsiaTheme="minorEastAsia" w:hAnsiTheme="minorEastAsia"/>
          <w:color w:val="333333"/>
          <w:sz w:val="21"/>
          <w:szCs w:val="21"/>
        </w:rPr>
      </w:pPr>
      <w:r>
        <w:rPr>
          <w:rFonts w:asciiTheme="minorEastAsia" w:eastAsiaTheme="minorEastAsia" w:hAnsiTheme="minorEastAsia" w:hint="eastAsia"/>
          <w:b/>
          <w:bCs/>
          <w:color w:val="333333"/>
          <w:sz w:val="21"/>
          <w:szCs w:val="21"/>
        </w:rPr>
        <w:t>第二十五条</w:t>
      </w:r>
      <w:r>
        <w:rPr>
          <w:rFonts w:asciiTheme="minorEastAsia" w:eastAsiaTheme="minorEastAsia" w:hAnsiTheme="minorEastAsia" w:hint="eastAsia"/>
          <w:color w:val="333333"/>
          <w:sz w:val="21"/>
          <w:szCs w:val="21"/>
        </w:rPr>
        <w:t>　本办法自2021年1月1日起施行。《财政部 工业和信息化部关于印发〈政府采购促进中小企业发展暂行办法〉的通知》（财库〔2011〕181号）同时废止。</w:t>
      </w:r>
    </w:p>
    <w:p>
      <w:pPr>
        <w:pStyle w:val="NormalWeb"/>
        <w:shd w:val="clear" w:color="auto" w:fill="FFFFFF"/>
        <w:spacing w:before="0" w:beforeAutospacing="0" w:after="0" w:afterAutospacing="0" w:line="360" w:lineRule="auto"/>
        <w:ind w:firstLine="480"/>
        <w:rPr>
          <w:rFonts w:asciiTheme="minorEastAsia" w:eastAsiaTheme="minorEastAsia" w:hAnsiTheme="minorEastAsia"/>
          <w:color w:val="333333"/>
          <w:sz w:val="21"/>
          <w:szCs w:val="21"/>
        </w:rPr>
      </w:pPr>
    </w:p>
    <w:p>
      <w:pPr>
        <w:spacing w:line="360" w:lineRule="auto"/>
        <w:rPr>
          <w:rFonts w:asciiTheme="minorEastAsia" w:eastAsiaTheme="minorEastAsia" w:hAnsiTheme="minorEastAsia"/>
          <w:szCs w:val="21"/>
        </w:rPr>
      </w:pPr>
    </w:p>
    <w:p>
      <w:pPr>
        <w:pStyle w:val="Heading3"/>
        <w:spacing w:before="0" w:after="0"/>
        <w:jc w:val="center"/>
      </w:pPr>
      <w:bookmarkStart w:id="21" w:name="_Toc73613645"/>
      <w:bookmarkStart w:id="22" w:name="_Toc73610163"/>
      <w:r>
        <w:rPr>
          <w:rFonts w:hint="eastAsia"/>
        </w:rPr>
        <w:t>二、关于印发中小企业划型标准规定的通知</w:t>
      </w:r>
      <w:bookmarkEnd w:id="21"/>
      <w:bookmarkEnd w:id="22"/>
    </w:p>
    <w:p>
      <w:pPr>
        <w:pStyle w:val="NormalWeb"/>
        <w:shd w:val="clear" w:color="auto" w:fill="FFFFFF"/>
        <w:spacing w:line="360" w:lineRule="auto"/>
        <w:jc w:val="center"/>
        <w:rPr>
          <w:rFonts w:asciiTheme="minorEastAsia" w:eastAsiaTheme="minorEastAsia" w:hAnsiTheme="minorEastAsia"/>
          <w:color w:val="000000"/>
          <w:sz w:val="21"/>
          <w:szCs w:val="21"/>
        </w:rPr>
      </w:pPr>
      <w:r>
        <w:rPr>
          <w:rFonts w:asciiTheme="minorEastAsia" w:eastAsiaTheme="minorEastAsia" w:hAnsiTheme="minorEastAsia" w:hint="eastAsia"/>
          <w:color w:val="000000"/>
          <w:sz w:val="21"/>
          <w:szCs w:val="21"/>
        </w:rPr>
        <w:t>工信部联企业〔2011〕300号</w:t>
      </w:r>
    </w:p>
    <w:p>
      <w:pPr>
        <w:pStyle w:val="NormalWeb"/>
        <w:shd w:val="clear" w:color="auto" w:fill="FFFFFF"/>
        <w:spacing w:line="360" w:lineRule="auto"/>
        <w:rPr>
          <w:rFonts w:asciiTheme="minorEastAsia" w:eastAsiaTheme="minorEastAsia" w:hAnsiTheme="minorEastAsia"/>
          <w:color w:val="000000"/>
          <w:sz w:val="21"/>
          <w:szCs w:val="21"/>
        </w:rPr>
      </w:pPr>
      <w:r>
        <w:rPr>
          <w:rFonts w:asciiTheme="minorEastAsia" w:eastAsiaTheme="minorEastAsia" w:hAnsiTheme="minorEastAsia" w:hint="eastAsia"/>
          <w:color w:val="000000"/>
          <w:sz w:val="21"/>
          <w:szCs w:val="21"/>
        </w:rPr>
        <w:t>各省、自治区、直辖市人民政府，国务院各部委、各直属机构及有关单位：</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为贯彻落实《中华人民共和国中小企业促进法》和《国务院关于进一步促进中小企业发展的若干意见》（国发〔2009〕36号），工业和信息化部、国家统计局、发展改革委、财政部研究制定了《中小企业划型标准规定》。经国务院同意，现印发给你们，请遵照执行。</w:t>
      </w:r>
    </w:p>
    <w:p>
      <w:pPr>
        <w:pStyle w:val="NormalWeb"/>
        <w:shd w:val="clear" w:color="auto" w:fill="FFFFFF"/>
        <w:spacing w:line="360" w:lineRule="auto"/>
        <w:jc w:val="right"/>
        <w:rPr>
          <w:rFonts w:asciiTheme="minorEastAsia" w:eastAsiaTheme="minorEastAsia" w:hAnsiTheme="minorEastAsia"/>
          <w:color w:val="000000"/>
          <w:sz w:val="21"/>
          <w:szCs w:val="21"/>
        </w:rPr>
      </w:pP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工业和信息化部　国家统计局</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国家发展和改革委员会　财政部</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二○一一年六月十八日</w:t>
      </w:r>
    </w:p>
    <w:p>
      <w:pPr>
        <w:pStyle w:val="NormalWeb"/>
        <w:shd w:val="clear" w:color="auto" w:fill="FFFFFF"/>
        <w:spacing w:line="360" w:lineRule="auto"/>
        <w:jc w:val="center"/>
        <w:rPr>
          <w:rFonts w:asciiTheme="minorEastAsia" w:eastAsiaTheme="minorEastAsia" w:hAnsiTheme="minorEastAsia"/>
          <w:color w:val="000000"/>
          <w:sz w:val="21"/>
          <w:szCs w:val="21"/>
        </w:rPr>
      </w:pPr>
      <w:r>
        <w:rPr>
          <w:rStyle w:val="Strong"/>
          <w:rFonts w:asciiTheme="minorEastAsia" w:eastAsiaTheme="minorEastAsia" w:hAnsiTheme="minorEastAsia" w:hint="eastAsia"/>
          <w:color w:val="000000"/>
          <w:sz w:val="21"/>
          <w:szCs w:val="21"/>
        </w:rPr>
        <w:t>中小企业划型标准规定</w:t>
      </w:r>
    </w:p>
    <w:p>
      <w:pPr>
        <w:pStyle w:val="NormalWeb"/>
        <w:shd w:val="clear" w:color="auto" w:fill="FFFFFF"/>
        <w:spacing w:line="360" w:lineRule="auto"/>
        <w:rPr>
          <w:rFonts w:asciiTheme="minorEastAsia" w:eastAsiaTheme="minorEastAsia" w:hAnsiTheme="minorEastAsia"/>
          <w:color w:val="000000"/>
          <w:sz w:val="21"/>
          <w:szCs w:val="21"/>
        </w:rPr>
      </w:pPr>
      <w:r>
        <w:rPr>
          <w:rFonts w:asciiTheme="minorEastAsia" w:eastAsiaTheme="minorEastAsia" w:hAnsiTheme="minorEastAsia" w:hint="eastAsia"/>
          <w:color w:val="000000"/>
          <w:sz w:val="21"/>
          <w:szCs w:val="21"/>
        </w:rPr>
        <w:t>　　一、根据《中华人民共和国中小企业促进法》和《国务院关于进一步促进中小企业发展的若干意见》(国发〔2009〕36号)，制定本规定。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二、中小企业划分为中型、小型、微型三种类型，具体标准根据企业从业人员、营业收入、资产总额等指标，结合行业特点制定。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四、各行业划型标准为：</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（一）农、林、牧、渔业。营业收入20000万元以下的为中小微型企业。其中，营业收入500万元及以上的为中型企业，营业收入50万元及以上的为小型企业，营业收入50万元以下的为微型企业。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二）工业。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三）建筑业。营业收入80000万元以下或资产总额80000万元以下的为中小微型企业。其中，营业收入6000万元及以上，且资产总额5000万元及以上的为中型企业；营业收入300万元及以上，且资产总额300万元及以上的为小型企业；营业收入300万元以下或资产总额300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四）批发业。从业人员200人以下或营业收入40000万元以下的为中小微型企业。其中，从业人员20人及以上，且营业收入5000万元及以上的为中型企业；从业人员5人及以上，且营业收入1000万元及以上的为小型企业；从业人员5人以下或营业收入1000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五）零售业。从业人员300人以下或营业收入20000万元以下的为中小微型企业。其中，从业人员50人及以上，且营业收入500万元及以上的为中型企业；从业人员10人及以上，且营业收入100万元及以上的为小型企业；从业人员10人以下或营业收入100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六）交通运输业。从业人员1000人以下或营业收入30000万元以下的为中小微型企业。其中，从业人员300人及以上，且营业收入3000万元及以上的为中型企业；从业人员20人及以上，且营业收入200万元及以上的为小型企业；从业人员20人以下或营业收入200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七）仓储业。从业人员200人以下或营业收入30000万元以下的为中小微型企业。其中，从业人员100人及以上，且营业收入1000万元及以上的为中型企业；从业人员20人及以上，且营业收入100万元及以上的为小型企业；从业人员20人以下或营业收入100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八）邮政业。从业人员1000人以下或营业收入30000万元以下的为中小微型企业。其中，从业人员300人及以上，且营业收入2000万元及以上的为中型企业；从业人员20人及以上，且营业收入100万元及以上的为小型企业；从业人员20人以下或营业收入100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九）住宿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十）餐饮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十一）信息传输业。从业人员2000人以下或营业收入100000万元以下的为中小微型企业。其中，从业人员100人及以上，且营业收入1000万元及以上的为中型企业；从业人员10人及以上，且营业收入100万元及以上的为小型企业；从业人员10人以下或营业收入100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十二）软件和信息技术服务业。从业人员300人以下或营业收入10000万元以下的为中小微型企业。其中，从业人员100人及以上，且营业收入1000万元及以上的为中型企业；从业人员10人及以上，且营业收入50万元及以上的为小型企业；从业人员10人以下或营业收入50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十三）房地产开发经营。营业收入200000万元以下或资产总额10000万元以下的为中小微型企业。其中，营业收入1000万元及以上，且资产总额5000万元及以上的为中型企业；营业收入100万元及以上，且资产总额2000万元及以上的为小型企业；营业收入100万元以下或资产总额2000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十四）物业管理。从业人员1000人以下或营业收入5000万元以下的为中小微型企业。其中，从业人员300人及以上，且营业收入1000万元及以上的为中型企业；从业人员100人及以上，且营业收入500万元及以上的为小型企业；从业人员100人以下或营业收入500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十五）租赁和商务服务业。从业人员300人以下或资产总额120000万元以下的为中小微型企业。其中，从业人员100人及以上，且资产总额8000万元及以上的为中型企业；从业人员10人及以上，且资产总额100万元及以上的为小型企业；从业人员10人以下或资产总额100万元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（十六）其他未列明行业。从业人员300人以下的为中小微型企业。其中，从业人员100人及以上的为中型企业；从业人员10人及以上的为小型企业；从业人员10人以下的为微型企业。</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五、企业类型的划分以统计部门的统计数据为依据。</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六、本规定适用于在中华人民共和国境内依法设立的各类所有制和各种组织形式的企业。个体工商户和本规定以外的行业，参照本规定进行划型。</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七、本规定的中型企业标准上限即为大型企业标准的下限，国家统计部门据此制定大中小微型企业的统计分类。国务院有关部门据此进行相关数据分析，不得制定与本规定不一致的企业划型标准。</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八、本规定由工业和信息化部、国家统计局会同有关部门根据《国民经济行业分类》修订情况和企业发展变化情况适时修订。</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九、本规定由工业和信息化部、国家统计局会同有关部门负责解释。</w:t>
      </w:r>
      <w:r>
        <w:rPr>
          <w:rFonts w:asciiTheme="minorEastAsia" w:eastAsiaTheme="minorEastAsia" w:hAnsiTheme="minorEastAsia" w:hint="eastAsia"/>
          <w:color w:val="000000"/>
          <w:sz w:val="21"/>
          <w:szCs w:val="21"/>
        </w:rPr>
        <w:br/>
      </w:r>
      <w:r>
        <w:rPr>
          <w:rFonts w:asciiTheme="minorEastAsia" w:eastAsiaTheme="minorEastAsia" w:hAnsiTheme="minorEastAsia" w:hint="eastAsia"/>
          <w:color w:val="000000"/>
          <w:sz w:val="21"/>
          <w:szCs w:val="21"/>
        </w:rPr>
        <w:t>　　十、本规定自发布之日起执行，原国家经贸委、原国家计委、财政部和国家统计局2003年颁布的《中小企业标准暂行规定》同时废止。</w:t>
      </w:r>
    </w:p>
    <w:p>
      <w:pPr>
        <w:pStyle w:val="NormalWeb"/>
        <w:shd w:val="clear" w:color="auto" w:fill="FFFFFF"/>
        <w:spacing w:line="360" w:lineRule="auto"/>
        <w:rPr>
          <w:rFonts w:asciiTheme="minorEastAsia" w:eastAsiaTheme="minorEastAsia" w:hAnsiTheme="minorEastAsia"/>
          <w:color w:val="000000"/>
          <w:sz w:val="21"/>
          <w:szCs w:val="21"/>
        </w:rPr>
      </w:pPr>
    </w:p>
    <w:p>
      <w:pPr>
        <w:pStyle w:val="Heading3"/>
        <w:spacing w:before="0" w:after="0"/>
        <w:jc w:val="center"/>
        <w:rPr>
          <w:rFonts w:asciiTheme="minorEastAsia" w:eastAsiaTheme="minorEastAsia" w:hAnsiTheme="minorEastAsia"/>
        </w:rPr>
      </w:pPr>
      <w:bookmarkStart w:id="23" w:name="_Toc73613646"/>
      <w:bookmarkStart w:id="24" w:name="_Toc73610164"/>
      <w:r>
        <w:rPr>
          <w:rFonts w:asciiTheme="minorEastAsia" w:eastAsiaTheme="minorEastAsia" w:hAnsiTheme="minorEastAsia" w:hint="eastAsia"/>
          <w:bCs w:val="0"/>
        </w:rPr>
        <w:t>三、</w:t>
      </w:r>
      <w:r>
        <w:rPr>
          <w:rFonts w:asciiTheme="minorEastAsia" w:eastAsiaTheme="minorEastAsia" w:hAnsiTheme="minorEastAsia"/>
          <w:bCs w:val="0"/>
        </w:rPr>
        <w:t>国家统计局关于印发《统计上大中小微型企业划分办法 （2017）》的通知</w:t>
      </w:r>
      <w:bookmarkEnd w:id="23"/>
      <w:bookmarkEnd w:id="24"/>
      <w:r>
        <w:rPr>
          <w:rFonts w:asciiTheme="minorEastAsia" w:eastAsiaTheme="minorEastAsia" w:hAnsiTheme="minorEastAsia"/>
          <w:bCs w:val="0"/>
        </w:rPr>
        <w:t> </w:t>
      </w:r>
    </w:p>
    <w:p>
      <w:pPr>
        <w:widowControl/>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国统字〔2017〕213号</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各省、自治区、直辖市统计局，新疆生产建设兵团统计局，国务院各有关部门，国家统计局各调查总队：</w:t>
      </w: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《国民经济行业分类》（GB/T 4754—2017）已正式实施，现对2011年制定的《统计上大中小微型企业划分办法》进行修订。本次修订保持原有的分类原则、方法、结构框架和适用范围，仅将所涉及的行业按照《国民经济行业分类》（GB/T 4754—2011）和《国民经济行业分类》（GB/T 4754—2017）的对应关系，进行相应调整，形成《统计上大中小微型企业划分办法（2017）》。现将《统计上大中小微型企业划分办法（2017）》印发给你们，请在统计工作中认真贯彻执行。</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附件：《统计上大中小微型企业划分办法（2017）》修订说明</w:t>
      </w:r>
    </w:p>
    <w:p>
      <w:pPr>
        <w:widowControl/>
        <w:spacing w:line="360" w:lineRule="auto"/>
        <w:jc w:val="right"/>
        <w:rPr>
          <w:rFonts w:asciiTheme="minorEastAsia" w:eastAsiaTheme="minorEastAsia" w:hAnsiTheme="minorEastAsia" w:cs="宋体"/>
          <w:kern w:val="0"/>
          <w:szCs w:val="21"/>
        </w:rPr>
      </w:pPr>
      <w:r>
        <w:rPr>
          <w:rFonts w:asciiTheme="minorEastAsia" w:eastAsiaTheme="minorEastAsia" w:hAnsiTheme="minorEastAsia" w:cs="宋体"/>
          <w:kern w:val="0"/>
          <w:szCs w:val="21"/>
        </w:rPr>
        <w:t>国家统计局</w:t>
      </w:r>
    </w:p>
    <w:p>
      <w:pPr>
        <w:widowControl/>
        <w:spacing w:line="360" w:lineRule="auto"/>
        <w:jc w:val="right"/>
        <w:rPr>
          <w:rFonts w:asciiTheme="minorEastAsia" w:eastAsiaTheme="minorEastAsia" w:hAnsiTheme="minorEastAsia" w:cs="宋体"/>
          <w:kern w:val="0"/>
          <w:szCs w:val="21"/>
        </w:rPr>
      </w:pPr>
      <w:r>
        <w:rPr>
          <w:rFonts w:asciiTheme="minorEastAsia" w:eastAsiaTheme="minorEastAsia" w:hAnsiTheme="minorEastAsia" w:cs="宋体"/>
          <w:kern w:val="0"/>
          <w:szCs w:val="21"/>
        </w:rPr>
        <w:t>2017年12月28日</w:t>
      </w:r>
    </w:p>
    <w:p>
      <w:pPr>
        <w:widowControl/>
        <w:spacing w:line="360" w:lineRule="auto"/>
        <w:jc w:val="center"/>
        <w:rPr>
          <w:rFonts w:asciiTheme="minorEastAsia" w:eastAsiaTheme="minorEastAsia" w:hAnsiTheme="minorEastAsia" w:cs="宋体"/>
          <w:b/>
          <w:bCs/>
          <w:kern w:val="0"/>
          <w:szCs w:val="21"/>
        </w:rPr>
      </w:pPr>
    </w:p>
    <w:p>
      <w:pPr>
        <w:widowControl/>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b/>
          <w:bCs/>
          <w:kern w:val="0"/>
          <w:szCs w:val="21"/>
        </w:rPr>
        <w:t>统计上大中小微型企业划分办法（2017）</w:t>
      </w:r>
    </w:p>
    <w:p>
      <w:pPr>
        <w:widowControl/>
        <w:spacing w:line="360" w:lineRule="auto"/>
        <w:jc w:val="left"/>
        <w:rPr>
          <w:rFonts w:asciiTheme="minorEastAsia" w:eastAsiaTheme="minorEastAsia" w:hAnsiTheme="minorEastAsia" w:cs="宋体"/>
          <w:kern w:val="0"/>
          <w:szCs w:val="21"/>
        </w:rPr>
      </w:pPr>
    </w:p>
    <w:p>
      <w:pPr>
        <w:widowControl/>
        <w:spacing w:line="360" w:lineRule="auto"/>
        <w:ind w:left="1"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一、根据工业和信息化部、国家统计局、国家发展改革委、财政部《关于印发中小企业划型标准规定的通知》（工信部联企业〔2011〕300号），以《国民经济行业分类》（GB/T4754-2017）为基础，结合统计工作的实际情况，制定本办法。</w:t>
      </w: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二、本办法适用对象为在中华人民共和国境内依法设立的各种组织形式的法人企业或单位。个体工商户参照本办法进行划分。</w:t>
      </w: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三、本办法适用范围包括：农、林、牧、渔业，采矿业，制造业，电力、热力、燃气及水生产和供应业，建筑业，批发和零售业，交通运输、仓储和邮政业，住宿和餐饮业，信息传输、软件和信息技术服务业，房地产业，租赁和商务服务业，科学研究和技术服务业，水利、环境和公共设施管理业，居民服务、修理和其他服务业，文化、体育和娱乐业等15个行业门类以及社会工作行业大类。</w:t>
      </w: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四、本办法按照行业门类、大类、中类和组合类别，依据从业人员、营业收入、资产总额等指标或替代指标，将我国的企业划分为大型、中型、小型、微型等四种类型。具体划分标准见附表。</w:t>
      </w: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五、企业划分由政府综合统计部门根据统计年报每年确定一次，定报统计原则上不进行调整。</w:t>
      </w:r>
    </w:p>
    <w:p>
      <w:pPr>
        <w:widowControl/>
        <w:spacing w:line="360" w:lineRule="auto"/>
        <w:ind w:left="1"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六、本办法自印发之日起执行，国家统计局2011年印发的《统计上大中小微型企业划分办法》（国统字〔2011〕75号）同时废止。</w:t>
      </w:r>
    </w:p>
    <w:p>
      <w:pPr>
        <w:widowControl/>
        <w:spacing w:line="360" w:lineRule="auto"/>
        <w:jc w:val="left"/>
        <w:rPr>
          <w:rFonts w:asciiTheme="minorEastAsia" w:eastAsiaTheme="minorEastAsia" w:hAnsiTheme="minorEastAsia" w:cs="宋体"/>
          <w:kern w:val="0"/>
          <w:szCs w:val="21"/>
        </w:rPr>
      </w:pP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附件</w:t>
      </w:r>
    </w:p>
    <w:p>
      <w:pPr>
        <w:widowControl/>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b/>
          <w:bCs/>
          <w:kern w:val="0"/>
          <w:szCs w:val="21"/>
        </w:rPr>
        <w:t>《统计上大中小微型企业划分办法（2017）》修订说明</w:t>
      </w:r>
    </w:p>
    <w:p>
      <w:pPr>
        <w:widowControl/>
        <w:spacing w:line="360" w:lineRule="auto"/>
        <w:jc w:val="left"/>
        <w:rPr>
          <w:rFonts w:asciiTheme="minorEastAsia" w:eastAsiaTheme="minorEastAsia" w:hAnsiTheme="minorEastAsia" w:cs="宋体"/>
          <w:kern w:val="0"/>
          <w:szCs w:val="21"/>
        </w:rPr>
      </w:pP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一、修订背景</w:t>
      </w: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目前执行的《统计上大中小微型企业划分办法》是2011年国家统计局根据工业和信息化部、国家统计局、国家发展改革委、财政部《关于印发中小企业划型标准规定的通知》（工信部联企业〔2011〕300号），同时依据《国民经济行业分类》（GB/T 4754—2011），制定并颁布的。</w:t>
      </w: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2017年6月30日，《国民经济行业分类》（GB/T 4754—2017）正式颁布。8月29日，国家统计局印发《关于执行新国民经济行业分类国家标准的通知》（国统字〔2017〕142号），规定从2017年统计年报和2018年定期统计报表起统一使用新分类标准。为此，我们对2011年印发的《统计上大中小微型企业划分办法》进行修订。</w:t>
      </w: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二、修订主要内容</w:t>
      </w: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本次修订是在2011年《统计上大中小微型企业划分办法》基础上进行的，修订延续原有的分类原则、方法和结构框架，在保持适用范围不变的情况下,依据标准由《国民经济行业分类》（GB/T 4754—2011）修改为《国民经济行业分类》（GB/T 4754—2017），并根据新旧国民经济行业的对应关系，进行了行业所包含类别的对应调整。</w:t>
      </w: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将交通运输业中包括的“装卸搬运和运输代理业”修改为“多式联运和运输代理业、装卸搬运”。</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仓储业所包括的行业中类，根据《国民经济行业分类》（GB/T 4754—2017）调整为“通用仓储，低温仓储，危险品仓储，谷物、棉花等农产品仓储，中药材仓储和其他仓储业”。</w:t>
      </w:r>
    </w:p>
    <w:p>
      <w:pPr>
        <w:widowControl/>
        <w:spacing w:line="360" w:lineRule="auto"/>
        <w:jc w:val="left"/>
        <w:rPr>
          <w:rFonts w:asciiTheme="minorEastAsia" w:eastAsiaTheme="minorEastAsia" w:hAnsiTheme="minorEastAsia" w:cs="宋体"/>
          <w:kern w:val="0"/>
          <w:szCs w:val="21"/>
        </w:rPr>
      </w:pP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附表</w:t>
      </w:r>
    </w:p>
    <w:p>
      <w:pPr>
        <w:widowControl/>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b/>
          <w:bCs/>
          <w:kern w:val="0"/>
          <w:szCs w:val="21"/>
        </w:rPr>
        <w:t>统计上大中小微型企业划分标准</w:t>
      </w:r>
    </w:p>
    <w:tbl>
      <w:tblPr>
        <w:tblStyle w:val="TableNormal"/>
        <w:tblW w:w="0" w:type="auto"/>
        <w:jc w:val="center"/>
        <w:tblLayout w:type="fixed"/>
        <w:tblCellMar>
          <w:top w:w="0" w:type="dxa"/>
          <w:left w:w="108" w:type="dxa"/>
          <w:bottom w:w="0" w:type="dxa"/>
          <w:right w:w="108" w:type="dxa"/>
        </w:tblCellMar>
      </w:tblPr>
      <w:tblGrid>
        <w:gridCol w:w="2113"/>
        <w:gridCol w:w="1369"/>
        <w:gridCol w:w="709"/>
        <w:gridCol w:w="1125"/>
        <w:gridCol w:w="1701"/>
        <w:gridCol w:w="1426"/>
        <w:gridCol w:w="992"/>
      </w:tblGrid>
      <w:tr>
        <w:tblPrEx>
          <w:tblW w:w="0" w:type="auto"/>
          <w:jc w:val="center"/>
          <w:tblLayout w:type="fixed"/>
          <w:tblCellMar>
            <w:top w:w="0" w:type="dxa"/>
            <w:left w:w="108" w:type="dxa"/>
            <w:bottom w:w="0" w:type="dxa"/>
            <w:right w:w="108" w:type="dxa"/>
          </w:tblCellMar>
        </w:tblPrEx>
        <w:trPr>
          <w:trHeight w:hRule="exact" w:val="622"/>
          <w:jc w:val="center"/>
        </w:trPr>
        <w:tc>
          <w:tcPr>
            <w:tcW w:w="2113" w:type="dxa"/>
            <w:tcBorders>
              <w:top w:val="single" w:sz="4" w:space="0" w:color="auto"/>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b/>
                <w:bCs/>
                <w:color w:val="000000"/>
                <w:kern w:val="0"/>
                <w:sz w:val="18"/>
                <w:szCs w:val="21"/>
              </w:rPr>
            </w:pPr>
            <w:r>
              <w:rPr>
                <w:rFonts w:ascii="宋体" w:hAnsi="宋体" w:cs="宋体" w:hint="eastAsia"/>
                <w:b/>
                <w:bCs/>
                <w:color w:val="000000"/>
                <w:kern w:val="0"/>
                <w:sz w:val="18"/>
                <w:szCs w:val="21"/>
              </w:rPr>
              <w:t>行业名称</w:t>
            </w:r>
          </w:p>
        </w:tc>
        <w:tc>
          <w:tcPr>
            <w:tcW w:w="1369" w:type="dxa"/>
            <w:tcBorders>
              <w:top w:val="single" w:sz="4" w:space="0" w:color="auto"/>
              <w:left w:val="nil"/>
              <w:bottom w:val="single" w:sz="4" w:space="0" w:color="auto"/>
              <w:right w:val="single" w:sz="4" w:space="0" w:color="auto"/>
            </w:tcBorders>
            <w:shd w:val="clear" w:color="auto" w:fill="auto"/>
            <w:vAlign w:val="center"/>
          </w:tcPr>
          <w:p>
            <w:pPr>
              <w:widowControl/>
              <w:jc w:val="center"/>
              <w:rPr>
                <w:rFonts w:ascii="宋体" w:hAnsi="宋体" w:cs="宋体"/>
                <w:b/>
                <w:bCs/>
                <w:color w:val="000000"/>
                <w:kern w:val="0"/>
                <w:sz w:val="18"/>
                <w:szCs w:val="18"/>
              </w:rPr>
            </w:pPr>
            <w:r>
              <w:rPr>
                <w:rFonts w:ascii="宋体" w:hAnsi="宋体" w:cs="宋体" w:hint="eastAsia"/>
                <w:b/>
                <w:bCs/>
                <w:color w:val="000000"/>
                <w:kern w:val="0"/>
                <w:sz w:val="18"/>
                <w:szCs w:val="18"/>
              </w:rPr>
              <w:t>指标名称</w:t>
            </w:r>
          </w:p>
        </w:tc>
        <w:tc>
          <w:tcPr>
            <w:tcW w:w="709" w:type="dxa"/>
            <w:tcBorders>
              <w:top w:val="single" w:sz="4" w:space="0" w:color="auto"/>
              <w:left w:val="nil"/>
              <w:bottom w:val="single" w:sz="4" w:space="0" w:color="auto"/>
              <w:right w:val="single" w:sz="4" w:space="0" w:color="auto"/>
            </w:tcBorders>
            <w:shd w:val="clear" w:color="auto" w:fill="auto"/>
            <w:vAlign w:val="center"/>
          </w:tcPr>
          <w:p>
            <w:pPr>
              <w:widowControl/>
              <w:jc w:val="center"/>
              <w:rPr>
                <w:rFonts w:ascii="宋体" w:hAnsi="宋体" w:cs="宋体"/>
                <w:b/>
                <w:bCs/>
                <w:color w:val="000000"/>
                <w:kern w:val="0"/>
                <w:sz w:val="18"/>
                <w:szCs w:val="18"/>
              </w:rPr>
            </w:pPr>
            <w:r>
              <w:rPr>
                <w:rFonts w:ascii="宋体" w:hAnsi="宋体" w:cs="宋体" w:hint="eastAsia"/>
                <w:b/>
                <w:bCs/>
                <w:color w:val="000000"/>
                <w:kern w:val="0"/>
                <w:sz w:val="18"/>
                <w:szCs w:val="18"/>
              </w:rPr>
              <w:t>计量</w:t>
            </w:r>
            <w:r>
              <w:rPr>
                <w:rFonts w:ascii="宋体" w:hAnsi="宋体" w:cs="宋体" w:hint="eastAsia"/>
                <w:b/>
                <w:bCs/>
                <w:color w:val="000000"/>
                <w:kern w:val="0"/>
                <w:sz w:val="18"/>
                <w:szCs w:val="18"/>
              </w:rPr>
              <w:br/>
            </w:r>
            <w:r>
              <w:rPr>
                <w:rFonts w:ascii="宋体" w:hAnsi="宋体" w:cs="宋体" w:hint="eastAsia"/>
                <w:b/>
                <w:bCs/>
                <w:color w:val="000000"/>
                <w:kern w:val="0"/>
                <w:sz w:val="18"/>
                <w:szCs w:val="18"/>
              </w:rPr>
              <w:t>单位</w:t>
            </w:r>
          </w:p>
        </w:tc>
        <w:tc>
          <w:tcPr>
            <w:tcW w:w="1125" w:type="dxa"/>
            <w:tcBorders>
              <w:top w:val="single" w:sz="4" w:space="0" w:color="auto"/>
              <w:left w:val="nil"/>
              <w:bottom w:val="single" w:sz="4" w:space="0" w:color="auto"/>
              <w:right w:val="single" w:sz="4" w:space="0" w:color="auto"/>
            </w:tcBorders>
            <w:shd w:val="clear" w:color="auto" w:fill="auto"/>
            <w:vAlign w:val="center"/>
          </w:tcPr>
          <w:p>
            <w:pPr>
              <w:widowControl/>
              <w:jc w:val="center"/>
              <w:rPr>
                <w:rFonts w:ascii="宋体" w:hAnsi="宋体" w:cs="宋体"/>
                <w:b/>
                <w:bCs/>
                <w:color w:val="000000"/>
                <w:kern w:val="0"/>
                <w:sz w:val="18"/>
                <w:szCs w:val="18"/>
              </w:rPr>
            </w:pPr>
            <w:r>
              <w:rPr>
                <w:rFonts w:ascii="宋体" w:hAnsi="宋体" w:cs="宋体" w:hint="eastAsia"/>
                <w:b/>
                <w:bCs/>
                <w:color w:val="000000"/>
                <w:kern w:val="0"/>
                <w:sz w:val="18"/>
                <w:szCs w:val="18"/>
              </w:rPr>
              <w:t>大型</w:t>
            </w:r>
          </w:p>
        </w:tc>
        <w:tc>
          <w:tcPr>
            <w:tcW w:w="1701" w:type="dxa"/>
            <w:tcBorders>
              <w:top w:val="single" w:sz="4" w:space="0" w:color="auto"/>
              <w:left w:val="nil"/>
              <w:bottom w:val="single" w:sz="4" w:space="0" w:color="auto"/>
              <w:right w:val="single" w:sz="4" w:space="0" w:color="auto"/>
            </w:tcBorders>
            <w:shd w:val="clear" w:color="auto" w:fill="auto"/>
            <w:vAlign w:val="center"/>
          </w:tcPr>
          <w:p>
            <w:pPr>
              <w:widowControl/>
              <w:jc w:val="center"/>
              <w:rPr>
                <w:rFonts w:ascii="宋体" w:hAnsi="宋体" w:cs="宋体"/>
                <w:b/>
                <w:bCs/>
                <w:color w:val="000000"/>
                <w:kern w:val="0"/>
                <w:sz w:val="18"/>
                <w:szCs w:val="18"/>
              </w:rPr>
            </w:pPr>
            <w:r>
              <w:rPr>
                <w:rFonts w:ascii="宋体" w:hAnsi="宋体" w:cs="宋体" w:hint="eastAsia"/>
                <w:b/>
                <w:bCs/>
                <w:color w:val="000000"/>
                <w:kern w:val="0"/>
                <w:sz w:val="18"/>
                <w:szCs w:val="18"/>
              </w:rPr>
              <w:t>中型</w:t>
            </w:r>
          </w:p>
        </w:tc>
        <w:tc>
          <w:tcPr>
            <w:tcW w:w="1426" w:type="dxa"/>
            <w:tcBorders>
              <w:top w:val="single" w:sz="4" w:space="0" w:color="auto"/>
              <w:left w:val="nil"/>
              <w:bottom w:val="single" w:sz="4" w:space="0" w:color="auto"/>
              <w:right w:val="single" w:sz="4" w:space="0" w:color="auto"/>
            </w:tcBorders>
            <w:shd w:val="clear" w:color="auto" w:fill="auto"/>
            <w:vAlign w:val="center"/>
          </w:tcPr>
          <w:p>
            <w:pPr>
              <w:widowControl/>
              <w:jc w:val="center"/>
              <w:rPr>
                <w:rFonts w:ascii="宋体" w:hAnsi="宋体" w:cs="宋体"/>
                <w:b/>
                <w:bCs/>
                <w:color w:val="000000"/>
                <w:kern w:val="0"/>
                <w:sz w:val="18"/>
                <w:szCs w:val="18"/>
              </w:rPr>
            </w:pPr>
            <w:r>
              <w:rPr>
                <w:rFonts w:ascii="宋体" w:hAnsi="宋体" w:cs="宋体" w:hint="eastAsia"/>
                <w:b/>
                <w:bCs/>
                <w:color w:val="000000"/>
                <w:kern w:val="0"/>
                <w:sz w:val="18"/>
                <w:szCs w:val="18"/>
              </w:rPr>
              <w:t>小型</w:t>
            </w:r>
          </w:p>
        </w:tc>
        <w:tc>
          <w:tcPr>
            <w:tcW w:w="992" w:type="dxa"/>
            <w:tcBorders>
              <w:top w:val="single" w:sz="4" w:space="0" w:color="auto"/>
              <w:left w:val="nil"/>
              <w:bottom w:val="single" w:sz="4" w:space="0" w:color="auto"/>
              <w:right w:val="nil"/>
            </w:tcBorders>
            <w:shd w:val="clear" w:color="auto" w:fill="auto"/>
            <w:vAlign w:val="center"/>
          </w:tcPr>
          <w:p>
            <w:pPr>
              <w:widowControl/>
              <w:jc w:val="center"/>
              <w:rPr>
                <w:rFonts w:ascii="宋体" w:hAnsi="宋体" w:cs="宋体"/>
                <w:b/>
                <w:bCs/>
                <w:color w:val="000000"/>
                <w:kern w:val="0"/>
                <w:sz w:val="18"/>
                <w:szCs w:val="18"/>
              </w:rPr>
            </w:pPr>
            <w:r>
              <w:rPr>
                <w:rFonts w:ascii="宋体" w:hAnsi="宋体" w:cs="宋体" w:hint="eastAsia"/>
                <w:b/>
                <w:bCs/>
                <w:color w:val="000000"/>
                <w:kern w:val="0"/>
                <w:sz w:val="18"/>
                <w:szCs w:val="18"/>
              </w:rPr>
              <w:t>微型</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农、林、牧、渔业</w:t>
            </w:r>
          </w:p>
        </w:tc>
        <w:tc>
          <w:tcPr>
            <w:tcW w:w="136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Y≥20000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500≤Y＜20000</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50≤Y＜500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Y＜50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工业 *</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X≥1000</w:t>
            </w:r>
          </w:p>
        </w:tc>
        <w:tc>
          <w:tcPr>
            <w:tcW w:w="1701"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300≤X＜1000</w:t>
            </w:r>
          </w:p>
        </w:tc>
        <w:tc>
          <w:tcPr>
            <w:tcW w:w="1426"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20≤X＜300</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X＜20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tcBorders>
              <w:top w:val="nil"/>
              <w:left w:val="nil"/>
              <w:bottom w:val="single" w:sz="4" w:space="0" w:color="auto"/>
              <w:right w:val="single" w:sz="4" w:space="0" w:color="auto"/>
            </w:tcBorders>
            <w:vAlign w:val="center"/>
          </w:tcPr>
          <w:p>
            <w:pPr>
              <w:widowControl/>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Y≥40000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2000≤Y＜40000</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300≤Y＜2000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Y＜300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建筑业</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Y≥80000</w:t>
            </w:r>
          </w:p>
        </w:tc>
        <w:tc>
          <w:tcPr>
            <w:tcW w:w="1701"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6000≤Y＜80000</w:t>
            </w:r>
          </w:p>
        </w:tc>
        <w:tc>
          <w:tcPr>
            <w:tcW w:w="1426"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300≤Y＜6000</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Y＜300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tcBorders>
              <w:top w:val="nil"/>
              <w:left w:val="nil"/>
              <w:bottom w:val="single" w:sz="4" w:space="0" w:color="auto"/>
              <w:right w:val="single" w:sz="4" w:space="0" w:color="auto"/>
            </w:tcBorders>
            <w:vAlign w:val="center"/>
          </w:tcPr>
          <w:p>
            <w:pPr>
              <w:widowControl/>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color w:val="000000"/>
                <w:kern w:val="0"/>
                <w:sz w:val="18"/>
                <w:szCs w:val="18"/>
              </w:rPr>
            </w:pPr>
            <w:r>
              <w:rPr>
                <w:rFonts w:ascii="宋体" w:hAnsi="宋体" w:cs="宋体" w:hint="eastAsia"/>
                <w:color w:val="000000"/>
                <w:kern w:val="0"/>
                <w:sz w:val="18"/>
                <w:szCs w:val="18"/>
              </w:rPr>
              <w:t>资产总额(Z)</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Z≥80000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5000≤Z＜80000</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300≤Z＜5000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Z＜300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批发业</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X≥200</w:t>
            </w:r>
          </w:p>
        </w:tc>
        <w:tc>
          <w:tcPr>
            <w:tcW w:w="1701"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20≤X＜200</w:t>
            </w:r>
          </w:p>
        </w:tc>
        <w:tc>
          <w:tcPr>
            <w:tcW w:w="1426"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5≤X＜20</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X＜5</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tcBorders>
              <w:top w:val="nil"/>
              <w:left w:val="nil"/>
              <w:bottom w:val="single" w:sz="4" w:space="0" w:color="auto"/>
              <w:right w:val="single" w:sz="4" w:space="0" w:color="auto"/>
            </w:tcBorders>
            <w:vAlign w:val="center"/>
          </w:tcPr>
          <w:p>
            <w:pPr>
              <w:widowControl/>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Y≥40000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5000≤Y＜40000</w:t>
            </w:r>
          </w:p>
        </w:tc>
        <w:tc>
          <w:tcPr>
            <w:tcW w:w="1426" w:type="dxa"/>
            <w:tcBorders>
              <w:top w:val="nil"/>
              <w:left w:val="nil"/>
              <w:bottom w:val="single" w:sz="4" w:space="0" w:color="auto"/>
              <w:right w:val="single" w:sz="4" w:space="0" w:color="auto"/>
            </w:tcBorders>
            <w:shd w:val="clear" w:color="auto" w:fill="auto"/>
            <w:vAlign w:val="center"/>
          </w:tcPr>
          <w:p>
            <w:pPr>
              <w:widowControl/>
              <w:ind w:left="-1" w:hanging="1" w:leftChars="-1"/>
              <w:jc w:val="center"/>
              <w:rPr>
                <w:rFonts w:ascii="宋体" w:hAnsi="宋体" w:cs="宋体"/>
                <w:color w:val="000000"/>
                <w:kern w:val="0"/>
                <w:sz w:val="18"/>
                <w:szCs w:val="18"/>
              </w:rPr>
            </w:pPr>
            <w:r>
              <w:rPr>
                <w:rFonts w:ascii="宋体" w:hAnsi="宋体" w:cs="宋体" w:hint="eastAsia"/>
                <w:color w:val="000000"/>
                <w:kern w:val="0"/>
                <w:sz w:val="18"/>
                <w:szCs w:val="18"/>
              </w:rPr>
              <w:t>1000≤Y＜5000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Y＜1000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零售业</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X≥300</w:t>
            </w:r>
          </w:p>
        </w:tc>
        <w:tc>
          <w:tcPr>
            <w:tcW w:w="1701"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50≤X＜300</w:t>
            </w:r>
          </w:p>
        </w:tc>
        <w:tc>
          <w:tcPr>
            <w:tcW w:w="1426" w:type="dxa"/>
            <w:tcBorders>
              <w:top w:val="nil"/>
              <w:left w:val="nil"/>
              <w:bottom w:val="nil"/>
              <w:right w:val="single" w:sz="4" w:space="0" w:color="auto"/>
            </w:tcBorders>
            <w:shd w:val="clear" w:color="auto" w:fill="auto"/>
            <w:vAlign w:val="center"/>
          </w:tcPr>
          <w:p>
            <w:pPr>
              <w:widowControl/>
              <w:ind w:left="-1" w:hanging="1" w:leftChars="-1"/>
              <w:jc w:val="center"/>
              <w:rPr>
                <w:rFonts w:ascii="宋体" w:hAnsi="宋体" w:cs="宋体"/>
                <w:color w:val="000000"/>
                <w:kern w:val="0"/>
                <w:sz w:val="18"/>
                <w:szCs w:val="18"/>
              </w:rPr>
            </w:pPr>
            <w:r>
              <w:rPr>
                <w:rFonts w:ascii="宋体" w:hAnsi="宋体" w:cs="宋体" w:hint="eastAsia"/>
                <w:color w:val="000000"/>
                <w:kern w:val="0"/>
                <w:sz w:val="18"/>
                <w:szCs w:val="18"/>
              </w:rPr>
              <w:t xml:space="preserve">10≤X＜50 </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X＜10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tcBorders>
              <w:top w:val="nil"/>
              <w:left w:val="nil"/>
              <w:bottom w:val="single" w:sz="4" w:space="0" w:color="auto"/>
              <w:right w:val="single" w:sz="4" w:space="0" w:color="auto"/>
            </w:tcBorders>
            <w:vAlign w:val="center"/>
          </w:tcPr>
          <w:p>
            <w:pPr>
              <w:widowControl/>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Y≥20000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500≤Y＜20000</w:t>
            </w:r>
          </w:p>
        </w:tc>
        <w:tc>
          <w:tcPr>
            <w:tcW w:w="1426" w:type="dxa"/>
            <w:tcBorders>
              <w:top w:val="nil"/>
              <w:left w:val="nil"/>
              <w:bottom w:val="single" w:sz="4" w:space="0" w:color="auto"/>
              <w:right w:val="single" w:sz="4" w:space="0" w:color="auto"/>
            </w:tcBorders>
            <w:shd w:val="clear" w:color="auto" w:fill="auto"/>
            <w:vAlign w:val="center"/>
          </w:tcPr>
          <w:p>
            <w:pPr>
              <w:widowControl/>
              <w:ind w:left="-1" w:hanging="1" w:leftChars="-1"/>
              <w:jc w:val="center"/>
              <w:rPr>
                <w:rFonts w:ascii="宋体" w:hAnsi="宋体" w:cs="宋体"/>
                <w:color w:val="000000"/>
                <w:kern w:val="0"/>
                <w:sz w:val="18"/>
                <w:szCs w:val="18"/>
              </w:rPr>
            </w:pPr>
            <w:r>
              <w:rPr>
                <w:rFonts w:ascii="宋体" w:hAnsi="宋体" w:cs="宋体" w:hint="eastAsia"/>
                <w:color w:val="000000"/>
                <w:kern w:val="0"/>
                <w:sz w:val="18"/>
                <w:szCs w:val="18"/>
              </w:rPr>
              <w:t xml:space="preserve">100≤Y＜500 </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Y＜100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交通运输业 *</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X≥1000</w:t>
            </w:r>
          </w:p>
        </w:tc>
        <w:tc>
          <w:tcPr>
            <w:tcW w:w="1701"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300≤X＜1000</w:t>
            </w:r>
          </w:p>
        </w:tc>
        <w:tc>
          <w:tcPr>
            <w:tcW w:w="1426"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20≤X＜300</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X＜20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tcBorders>
              <w:top w:val="nil"/>
              <w:left w:val="nil"/>
              <w:bottom w:val="single" w:sz="4" w:space="0" w:color="auto"/>
              <w:right w:val="single" w:sz="4" w:space="0" w:color="auto"/>
            </w:tcBorders>
            <w:vAlign w:val="center"/>
          </w:tcPr>
          <w:p>
            <w:pPr>
              <w:widowControl/>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Y≥30000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3000≤Y＜30000</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200≤Y＜3000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Y＜200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仓储业*</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X≥200</w:t>
            </w:r>
          </w:p>
        </w:tc>
        <w:tc>
          <w:tcPr>
            <w:tcW w:w="1701" w:type="dxa"/>
            <w:tcBorders>
              <w:top w:val="nil"/>
              <w:left w:val="nil"/>
              <w:bottom w:val="nil"/>
              <w:right w:val="single" w:sz="4" w:space="0" w:color="auto"/>
            </w:tcBorders>
            <w:shd w:val="clear" w:color="auto" w:fill="auto"/>
            <w:vAlign w:val="center"/>
          </w:tcPr>
          <w:p>
            <w:pPr>
              <w:widowControl/>
              <w:ind w:left="19" w:hanging="126" w:leftChars="-51" w:hangingChars="60"/>
              <w:jc w:val="center"/>
              <w:rPr>
                <w:rFonts w:ascii="宋体" w:hAnsi="宋体" w:cs="宋体"/>
                <w:color w:val="000000"/>
                <w:kern w:val="0"/>
                <w:sz w:val="18"/>
                <w:szCs w:val="18"/>
              </w:rPr>
            </w:pPr>
            <w:r>
              <w:rPr>
                <w:rFonts w:ascii="宋体" w:hAnsi="宋体" w:cs="宋体" w:hint="eastAsia"/>
                <w:color w:val="000000"/>
                <w:kern w:val="0"/>
                <w:sz w:val="18"/>
                <w:szCs w:val="18"/>
              </w:rPr>
              <w:t>100≤X＜200</w:t>
            </w:r>
          </w:p>
        </w:tc>
        <w:tc>
          <w:tcPr>
            <w:tcW w:w="1426"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20≤X＜100</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X＜20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tcBorders>
              <w:top w:val="nil"/>
              <w:left w:val="nil"/>
              <w:bottom w:val="single" w:sz="4" w:space="0" w:color="auto"/>
              <w:right w:val="single" w:sz="4" w:space="0" w:color="auto"/>
            </w:tcBorders>
            <w:vAlign w:val="center"/>
          </w:tcPr>
          <w:p>
            <w:pPr>
              <w:widowControl/>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Y≥30000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1000≤Y＜30000</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100≤Y＜1000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Y＜100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邮政业</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X≥1000</w:t>
            </w:r>
          </w:p>
        </w:tc>
        <w:tc>
          <w:tcPr>
            <w:tcW w:w="1701"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300≤X＜1000</w:t>
            </w:r>
          </w:p>
        </w:tc>
        <w:tc>
          <w:tcPr>
            <w:tcW w:w="1426"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20≤X＜300</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X＜20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tcBorders>
              <w:top w:val="nil"/>
              <w:left w:val="nil"/>
              <w:bottom w:val="single" w:sz="4" w:space="0" w:color="auto"/>
              <w:right w:val="single" w:sz="4" w:space="0" w:color="auto"/>
            </w:tcBorders>
            <w:vAlign w:val="center"/>
          </w:tcPr>
          <w:p>
            <w:pPr>
              <w:widowControl/>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Y≥30000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2000≤Y＜30000</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100≤Y＜2000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Y＜100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住宿业</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X≥300</w:t>
            </w:r>
          </w:p>
        </w:tc>
        <w:tc>
          <w:tcPr>
            <w:tcW w:w="1701" w:type="dxa"/>
            <w:tcBorders>
              <w:top w:val="nil"/>
              <w:left w:val="nil"/>
              <w:bottom w:val="nil"/>
              <w:right w:val="single" w:sz="4" w:space="0" w:color="auto"/>
            </w:tcBorders>
            <w:shd w:val="clear" w:color="auto" w:fill="auto"/>
            <w:vAlign w:val="center"/>
          </w:tcPr>
          <w:p>
            <w:pPr>
              <w:widowControl/>
              <w:ind w:left="19" w:hanging="126" w:leftChars="-51" w:hangingChars="60"/>
              <w:jc w:val="center"/>
              <w:rPr>
                <w:rFonts w:ascii="宋体" w:hAnsi="宋体" w:cs="宋体"/>
                <w:color w:val="000000"/>
                <w:kern w:val="0"/>
                <w:sz w:val="18"/>
                <w:szCs w:val="18"/>
              </w:rPr>
            </w:pPr>
            <w:r>
              <w:rPr>
                <w:rFonts w:ascii="宋体" w:hAnsi="宋体" w:cs="宋体" w:hint="eastAsia"/>
                <w:color w:val="000000"/>
                <w:kern w:val="0"/>
                <w:sz w:val="18"/>
                <w:szCs w:val="18"/>
              </w:rPr>
              <w:t xml:space="preserve">100≤X＜300 </w:t>
            </w:r>
          </w:p>
        </w:tc>
        <w:tc>
          <w:tcPr>
            <w:tcW w:w="1426"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10≤X＜100</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X＜10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tcBorders>
              <w:top w:val="nil"/>
              <w:left w:val="nil"/>
              <w:bottom w:val="single" w:sz="4" w:space="0" w:color="auto"/>
              <w:right w:val="single" w:sz="4" w:space="0" w:color="auto"/>
            </w:tcBorders>
            <w:vAlign w:val="center"/>
          </w:tcPr>
          <w:p>
            <w:pPr>
              <w:widowControl/>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Y≥10000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2000≤Y＜10000</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100≤Y＜2000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Y＜100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餐饮业</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X≥300</w:t>
            </w:r>
          </w:p>
        </w:tc>
        <w:tc>
          <w:tcPr>
            <w:tcW w:w="1701" w:type="dxa"/>
            <w:tcBorders>
              <w:top w:val="nil"/>
              <w:left w:val="nil"/>
              <w:bottom w:val="nil"/>
              <w:right w:val="single" w:sz="4" w:space="0" w:color="auto"/>
            </w:tcBorders>
            <w:shd w:val="clear" w:color="auto" w:fill="auto"/>
            <w:vAlign w:val="center"/>
          </w:tcPr>
          <w:p>
            <w:pPr>
              <w:widowControl/>
              <w:ind w:left="19" w:hanging="126" w:leftChars="-51" w:hangingChars="60"/>
              <w:jc w:val="center"/>
              <w:rPr>
                <w:rFonts w:ascii="宋体" w:hAnsi="宋体" w:cs="宋体"/>
                <w:color w:val="000000"/>
                <w:kern w:val="0"/>
                <w:sz w:val="18"/>
                <w:szCs w:val="18"/>
              </w:rPr>
            </w:pPr>
            <w:r>
              <w:rPr>
                <w:rFonts w:ascii="宋体" w:hAnsi="宋体" w:cs="宋体" w:hint="eastAsia"/>
                <w:color w:val="000000"/>
                <w:kern w:val="0"/>
                <w:sz w:val="18"/>
                <w:szCs w:val="18"/>
              </w:rPr>
              <w:t xml:space="preserve">100≤X＜300 </w:t>
            </w:r>
          </w:p>
        </w:tc>
        <w:tc>
          <w:tcPr>
            <w:tcW w:w="1426"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10≤X＜100</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X＜10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tcBorders>
              <w:top w:val="nil"/>
              <w:left w:val="nil"/>
              <w:bottom w:val="single" w:sz="4" w:space="0" w:color="auto"/>
              <w:right w:val="single" w:sz="4" w:space="0" w:color="auto"/>
            </w:tcBorders>
            <w:vAlign w:val="center"/>
          </w:tcPr>
          <w:p>
            <w:pPr>
              <w:widowControl/>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Y≥10000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2000≤Y＜10000</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100≤Y＜2000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Y＜100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val="restart"/>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信息传输业 *</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X≥2000</w:t>
            </w:r>
          </w:p>
        </w:tc>
        <w:tc>
          <w:tcPr>
            <w:tcW w:w="1701"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100≤X＜2000</w:t>
            </w:r>
          </w:p>
        </w:tc>
        <w:tc>
          <w:tcPr>
            <w:tcW w:w="1426"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10≤X＜100</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X＜10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vMerge/>
            <w:tcBorders>
              <w:top w:val="nil"/>
              <w:left w:val="nil"/>
              <w:bottom w:val="single" w:sz="4" w:space="0" w:color="auto"/>
              <w:right w:val="single" w:sz="4" w:space="0" w:color="auto"/>
            </w:tcBorders>
            <w:vAlign w:val="center"/>
          </w:tcPr>
          <w:p>
            <w:pPr>
              <w:widowControl/>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Y≥100000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1000≤Y＜100000</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100≤Y＜1000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Y＜100</w:t>
            </w:r>
          </w:p>
        </w:tc>
      </w:tr>
      <w:tr>
        <w:tblPrEx>
          <w:tblW w:w="0" w:type="auto"/>
          <w:jc w:val="center"/>
          <w:tblLayout w:type="fixed"/>
          <w:tblCellMar>
            <w:top w:w="0" w:type="dxa"/>
            <w:left w:w="108" w:type="dxa"/>
            <w:bottom w:w="0" w:type="dxa"/>
            <w:right w:w="108" w:type="dxa"/>
          </w:tblCellMar>
        </w:tblPrEx>
        <w:trPr>
          <w:trHeight w:hRule="exact" w:val="340"/>
          <w:jc w:val="center"/>
        </w:trPr>
        <w:tc>
          <w:tcPr>
            <w:tcW w:w="2113" w:type="dxa"/>
            <w:vMerge w:val="restart"/>
            <w:tcBorders>
              <w:top w:val="single" w:sz="4" w:space="0" w:color="auto"/>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spacing w:val="-12"/>
                <w:kern w:val="0"/>
                <w:sz w:val="18"/>
                <w:szCs w:val="18"/>
              </w:rPr>
            </w:pPr>
            <w:r>
              <w:rPr>
                <w:rFonts w:ascii="宋体" w:hAnsi="宋体" w:cs="宋体" w:hint="eastAsia"/>
                <w:color w:val="000000"/>
                <w:spacing w:val="-12"/>
                <w:kern w:val="0"/>
                <w:sz w:val="18"/>
                <w:szCs w:val="18"/>
              </w:rPr>
              <w:t>软件和信息技术服</w:t>
            </w:r>
            <w:r>
              <w:rPr>
                <w:rFonts w:ascii="宋体" w:hAnsi="宋体" w:cs="宋体" w:hint="eastAsia"/>
                <w:color w:val="000000"/>
                <w:kern w:val="0"/>
                <w:sz w:val="18"/>
                <w:szCs w:val="18"/>
              </w:rPr>
              <w:t>务业</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X≥300</w:t>
            </w:r>
          </w:p>
        </w:tc>
        <w:tc>
          <w:tcPr>
            <w:tcW w:w="1701" w:type="dxa"/>
            <w:tcBorders>
              <w:top w:val="nil"/>
              <w:left w:val="nil"/>
              <w:bottom w:val="nil"/>
              <w:right w:val="single" w:sz="4" w:space="0" w:color="auto"/>
            </w:tcBorders>
            <w:shd w:val="clear" w:color="auto" w:fill="auto"/>
            <w:vAlign w:val="center"/>
          </w:tcPr>
          <w:p>
            <w:pPr>
              <w:widowControl/>
              <w:ind w:left="19" w:hanging="126" w:leftChars="-51" w:hangingChars="60"/>
              <w:jc w:val="center"/>
              <w:rPr>
                <w:rFonts w:ascii="宋体" w:hAnsi="宋体" w:cs="宋体"/>
                <w:color w:val="000000"/>
                <w:kern w:val="0"/>
                <w:sz w:val="18"/>
                <w:szCs w:val="18"/>
              </w:rPr>
            </w:pPr>
            <w:r>
              <w:rPr>
                <w:rFonts w:ascii="宋体" w:hAnsi="宋体" w:cs="宋体" w:hint="eastAsia"/>
                <w:color w:val="000000"/>
                <w:kern w:val="0"/>
                <w:sz w:val="18"/>
                <w:szCs w:val="18"/>
              </w:rPr>
              <w:t xml:space="preserve">100≤X＜300 </w:t>
            </w:r>
          </w:p>
        </w:tc>
        <w:tc>
          <w:tcPr>
            <w:tcW w:w="1426"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10≤X＜100</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X＜10</w:t>
            </w:r>
          </w:p>
        </w:tc>
      </w:tr>
      <w:tr>
        <w:tblPrEx>
          <w:tblW w:w="0" w:type="auto"/>
          <w:jc w:val="center"/>
          <w:tblLayout w:type="fixed"/>
          <w:tblCellMar>
            <w:top w:w="0" w:type="dxa"/>
            <w:left w:w="108" w:type="dxa"/>
            <w:bottom w:w="0" w:type="dxa"/>
            <w:right w:w="108" w:type="dxa"/>
          </w:tblCellMar>
        </w:tblPrEx>
        <w:trPr>
          <w:trHeight w:hRule="exact" w:val="340"/>
          <w:jc w:val="center"/>
        </w:trPr>
        <w:tc>
          <w:tcPr>
            <w:tcW w:w="2113" w:type="dxa"/>
            <w:vMerge/>
            <w:tcBorders>
              <w:top w:val="single" w:sz="4" w:space="0" w:color="auto"/>
              <w:left w:val="nil"/>
              <w:bottom w:val="single" w:sz="4" w:space="0" w:color="auto"/>
              <w:right w:val="single" w:sz="4" w:space="0" w:color="auto"/>
            </w:tcBorders>
            <w:vAlign w:val="center"/>
          </w:tcPr>
          <w:p>
            <w:pPr>
              <w:widowControl/>
              <w:jc w:val="left"/>
              <w:rPr>
                <w:rFonts w:ascii="宋体" w:hAnsi="宋体" w:cs="宋体"/>
                <w:color w:val="000000"/>
                <w:spacing w:val="-12"/>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Y≥10000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1000≤Y＜10000</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50≤Y＜1000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Y＜50</w:t>
            </w:r>
          </w:p>
        </w:tc>
      </w:tr>
      <w:tr>
        <w:tblPrEx>
          <w:tblW w:w="0" w:type="auto"/>
          <w:jc w:val="center"/>
          <w:tblLayout w:type="fixed"/>
          <w:tblCellMar>
            <w:top w:w="0" w:type="dxa"/>
            <w:left w:w="108" w:type="dxa"/>
            <w:bottom w:w="0" w:type="dxa"/>
            <w:right w:w="108" w:type="dxa"/>
          </w:tblCellMar>
        </w:tblPrEx>
        <w:trPr>
          <w:trHeight w:hRule="exact" w:val="340"/>
          <w:jc w:val="center"/>
        </w:trPr>
        <w:tc>
          <w:tcPr>
            <w:tcW w:w="2113" w:type="dxa"/>
            <w:vMerge w:val="restart"/>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房地产开发经营</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Y≥200000</w:t>
            </w:r>
          </w:p>
        </w:tc>
        <w:tc>
          <w:tcPr>
            <w:tcW w:w="1701"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1000≤Y＜200000</w:t>
            </w:r>
          </w:p>
        </w:tc>
        <w:tc>
          <w:tcPr>
            <w:tcW w:w="1426"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100≤Y＜1000</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Y＜100</w:t>
            </w:r>
          </w:p>
        </w:tc>
      </w:tr>
      <w:tr>
        <w:tblPrEx>
          <w:tblW w:w="0" w:type="auto"/>
          <w:jc w:val="center"/>
          <w:tblLayout w:type="fixed"/>
          <w:tblCellMar>
            <w:top w:w="0" w:type="dxa"/>
            <w:left w:w="108" w:type="dxa"/>
            <w:bottom w:w="0" w:type="dxa"/>
            <w:right w:w="108" w:type="dxa"/>
          </w:tblCellMar>
        </w:tblPrEx>
        <w:trPr>
          <w:trHeight w:hRule="exact" w:val="340"/>
          <w:jc w:val="center"/>
        </w:trPr>
        <w:tc>
          <w:tcPr>
            <w:tcW w:w="2113" w:type="dxa"/>
            <w:vMerge/>
            <w:tcBorders>
              <w:top w:val="nil"/>
              <w:left w:val="nil"/>
              <w:bottom w:val="single" w:sz="4" w:space="0" w:color="auto"/>
              <w:right w:val="single" w:sz="4" w:space="0" w:color="auto"/>
            </w:tcBorders>
            <w:vAlign w:val="center"/>
          </w:tcPr>
          <w:p>
            <w:pPr>
              <w:widowControl/>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color w:val="000000"/>
                <w:kern w:val="0"/>
                <w:sz w:val="18"/>
                <w:szCs w:val="18"/>
              </w:rPr>
            </w:pPr>
            <w:r>
              <w:rPr>
                <w:rFonts w:ascii="宋体" w:hAnsi="宋体" w:cs="宋体" w:hint="eastAsia"/>
                <w:color w:val="000000"/>
                <w:kern w:val="0"/>
                <w:sz w:val="18"/>
                <w:szCs w:val="18"/>
              </w:rPr>
              <w:t>资产总额(Z)</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Z≥10000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5000≤Z＜10000</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2000≤Z＜5000   </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Z＜2000</w:t>
            </w:r>
          </w:p>
        </w:tc>
      </w:tr>
      <w:tr>
        <w:tblPrEx>
          <w:tblW w:w="0" w:type="auto"/>
          <w:jc w:val="center"/>
          <w:tblLayout w:type="fixed"/>
          <w:tblCellMar>
            <w:top w:w="0" w:type="dxa"/>
            <w:left w:w="108" w:type="dxa"/>
            <w:bottom w:w="0" w:type="dxa"/>
            <w:right w:w="108" w:type="dxa"/>
          </w:tblCellMar>
        </w:tblPrEx>
        <w:trPr>
          <w:trHeight w:hRule="exact" w:val="340"/>
          <w:jc w:val="center"/>
        </w:trPr>
        <w:tc>
          <w:tcPr>
            <w:tcW w:w="2113" w:type="dxa"/>
            <w:vMerge w:val="restart"/>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物业管理</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X≥1000</w:t>
            </w:r>
          </w:p>
        </w:tc>
        <w:tc>
          <w:tcPr>
            <w:tcW w:w="1701"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300≤X＜1000</w:t>
            </w:r>
          </w:p>
        </w:tc>
        <w:tc>
          <w:tcPr>
            <w:tcW w:w="1426"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100≤X＜300 </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X＜100</w:t>
            </w:r>
          </w:p>
        </w:tc>
      </w:tr>
      <w:tr>
        <w:tblPrEx>
          <w:tblW w:w="0" w:type="auto"/>
          <w:jc w:val="center"/>
          <w:tblLayout w:type="fixed"/>
          <w:tblCellMar>
            <w:top w:w="0" w:type="dxa"/>
            <w:left w:w="108" w:type="dxa"/>
            <w:bottom w:w="0" w:type="dxa"/>
            <w:right w:w="108" w:type="dxa"/>
          </w:tblCellMar>
        </w:tblPrEx>
        <w:trPr>
          <w:trHeight w:hRule="exact" w:val="340"/>
          <w:jc w:val="center"/>
        </w:trPr>
        <w:tc>
          <w:tcPr>
            <w:tcW w:w="2113" w:type="dxa"/>
            <w:vMerge/>
            <w:tcBorders>
              <w:top w:val="nil"/>
              <w:left w:val="nil"/>
              <w:bottom w:val="single" w:sz="4" w:space="0" w:color="auto"/>
              <w:right w:val="single" w:sz="4" w:space="0" w:color="auto"/>
            </w:tcBorders>
            <w:vAlign w:val="center"/>
          </w:tcPr>
          <w:p>
            <w:pPr>
              <w:widowControl/>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color w:val="000000"/>
                <w:kern w:val="0"/>
                <w:sz w:val="18"/>
                <w:szCs w:val="18"/>
              </w:rPr>
            </w:pPr>
            <w:r>
              <w:rPr>
                <w:rFonts w:ascii="宋体" w:hAnsi="宋体" w:cs="宋体" w:hint="eastAsia"/>
                <w:color w:val="000000"/>
                <w:kern w:val="0"/>
                <w:sz w:val="18"/>
                <w:szCs w:val="18"/>
              </w:rPr>
              <w:t>营业收入(Y)</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Y≥5000</w:t>
            </w:r>
          </w:p>
        </w:tc>
        <w:tc>
          <w:tcPr>
            <w:tcW w:w="1701" w:type="dxa"/>
            <w:tcBorders>
              <w:top w:val="nil"/>
              <w:left w:val="nil"/>
              <w:bottom w:val="single" w:sz="4" w:space="0" w:color="auto"/>
              <w:right w:val="single" w:sz="4" w:space="0" w:color="auto"/>
            </w:tcBorders>
            <w:shd w:val="clear" w:color="auto" w:fill="auto"/>
            <w:vAlign w:val="center"/>
          </w:tcPr>
          <w:p>
            <w:pPr>
              <w:widowControl/>
              <w:ind w:left="19" w:hanging="126" w:leftChars="-51" w:hangingChars="60"/>
              <w:jc w:val="center"/>
              <w:rPr>
                <w:rFonts w:ascii="宋体" w:hAnsi="宋体" w:cs="宋体"/>
                <w:color w:val="000000"/>
                <w:kern w:val="0"/>
                <w:sz w:val="18"/>
                <w:szCs w:val="18"/>
              </w:rPr>
            </w:pPr>
            <w:r>
              <w:rPr>
                <w:rFonts w:ascii="宋体" w:hAnsi="宋体" w:cs="宋体" w:hint="eastAsia"/>
                <w:color w:val="000000"/>
                <w:kern w:val="0"/>
                <w:sz w:val="18"/>
                <w:szCs w:val="18"/>
              </w:rPr>
              <w:t xml:space="preserve">1000≤Y＜5000 </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500≤Y＜1000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Y＜500</w:t>
            </w:r>
          </w:p>
        </w:tc>
      </w:tr>
      <w:tr>
        <w:tblPrEx>
          <w:tblW w:w="0" w:type="auto"/>
          <w:jc w:val="center"/>
          <w:tblLayout w:type="fixed"/>
          <w:tblCellMar>
            <w:top w:w="0" w:type="dxa"/>
            <w:left w:w="108" w:type="dxa"/>
            <w:bottom w:w="0" w:type="dxa"/>
            <w:right w:w="108" w:type="dxa"/>
          </w:tblCellMar>
        </w:tblPrEx>
        <w:trPr>
          <w:trHeight w:hRule="exact" w:val="340"/>
          <w:jc w:val="center"/>
        </w:trPr>
        <w:tc>
          <w:tcPr>
            <w:tcW w:w="2113" w:type="dxa"/>
            <w:vMerge w:val="restart"/>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租赁和商务服务业</w:t>
            </w:r>
          </w:p>
        </w:tc>
        <w:tc>
          <w:tcPr>
            <w:tcW w:w="136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从业人员(X)</w:t>
            </w:r>
          </w:p>
        </w:tc>
        <w:tc>
          <w:tcPr>
            <w:tcW w:w="709"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人</w:t>
            </w:r>
          </w:p>
        </w:tc>
        <w:tc>
          <w:tcPr>
            <w:tcW w:w="1125"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X≥300</w:t>
            </w:r>
          </w:p>
        </w:tc>
        <w:tc>
          <w:tcPr>
            <w:tcW w:w="1701" w:type="dxa"/>
            <w:tcBorders>
              <w:top w:val="nil"/>
              <w:left w:val="nil"/>
              <w:bottom w:val="nil"/>
              <w:right w:val="single" w:sz="4" w:space="0" w:color="auto"/>
            </w:tcBorders>
            <w:shd w:val="clear" w:color="auto" w:fill="auto"/>
            <w:vAlign w:val="center"/>
          </w:tcPr>
          <w:p>
            <w:pPr>
              <w:widowControl/>
              <w:ind w:left="19" w:hanging="126" w:leftChars="-51" w:hangingChars="60"/>
              <w:jc w:val="center"/>
              <w:rPr>
                <w:rFonts w:ascii="宋体" w:hAnsi="宋体" w:cs="宋体"/>
                <w:color w:val="000000"/>
                <w:kern w:val="0"/>
                <w:sz w:val="18"/>
                <w:szCs w:val="18"/>
              </w:rPr>
            </w:pPr>
            <w:r>
              <w:rPr>
                <w:rFonts w:ascii="宋体" w:hAnsi="宋体" w:cs="宋体" w:hint="eastAsia"/>
                <w:color w:val="000000"/>
                <w:kern w:val="0"/>
                <w:sz w:val="18"/>
                <w:szCs w:val="18"/>
              </w:rPr>
              <w:t xml:space="preserve">100≤X＜300 </w:t>
            </w:r>
          </w:p>
        </w:tc>
        <w:tc>
          <w:tcPr>
            <w:tcW w:w="1426" w:type="dxa"/>
            <w:tcBorders>
              <w:top w:val="nil"/>
              <w:left w:val="nil"/>
              <w:bottom w:val="nil"/>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10≤X＜100</w:t>
            </w:r>
          </w:p>
        </w:tc>
        <w:tc>
          <w:tcPr>
            <w:tcW w:w="992" w:type="dxa"/>
            <w:tcBorders>
              <w:top w:val="nil"/>
              <w:left w:val="nil"/>
              <w:bottom w:val="nil"/>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X＜10</w:t>
            </w:r>
          </w:p>
        </w:tc>
      </w:tr>
      <w:tr>
        <w:tblPrEx>
          <w:tblW w:w="0" w:type="auto"/>
          <w:jc w:val="center"/>
          <w:tblLayout w:type="fixed"/>
          <w:tblCellMar>
            <w:top w:w="0" w:type="dxa"/>
            <w:left w:w="108" w:type="dxa"/>
            <w:bottom w:w="0" w:type="dxa"/>
            <w:right w:w="108" w:type="dxa"/>
          </w:tblCellMar>
        </w:tblPrEx>
        <w:trPr>
          <w:trHeight w:hRule="exact" w:val="340"/>
          <w:jc w:val="center"/>
        </w:trPr>
        <w:tc>
          <w:tcPr>
            <w:tcW w:w="2113" w:type="dxa"/>
            <w:vMerge/>
            <w:tcBorders>
              <w:top w:val="nil"/>
              <w:left w:val="nil"/>
              <w:bottom w:val="single" w:sz="4" w:space="0" w:color="auto"/>
              <w:right w:val="single" w:sz="4" w:space="0" w:color="auto"/>
            </w:tcBorders>
            <w:vAlign w:val="center"/>
          </w:tcPr>
          <w:p>
            <w:pPr>
              <w:widowControl/>
              <w:jc w:val="left"/>
              <w:rPr>
                <w:rFonts w:ascii="宋体" w:hAnsi="宋体" w:cs="宋体"/>
                <w:color w:val="000000"/>
                <w:kern w:val="0"/>
                <w:sz w:val="18"/>
                <w:szCs w:val="18"/>
              </w:rPr>
            </w:pPr>
          </w:p>
        </w:tc>
        <w:tc>
          <w:tcPr>
            <w:tcW w:w="1369" w:type="dxa"/>
            <w:tcBorders>
              <w:top w:val="nil"/>
              <w:left w:val="nil"/>
              <w:bottom w:val="single" w:sz="4" w:space="0" w:color="auto"/>
              <w:right w:val="single" w:sz="4" w:space="0" w:color="auto"/>
            </w:tcBorders>
            <w:shd w:val="clear" w:color="auto" w:fill="auto"/>
            <w:vAlign w:val="center"/>
          </w:tcPr>
          <w:p>
            <w:pPr>
              <w:widowControl/>
              <w:spacing w:line="240" w:lineRule="exact"/>
              <w:jc w:val="center"/>
              <w:rPr>
                <w:rFonts w:ascii="宋体" w:hAnsi="宋体" w:cs="宋体"/>
                <w:color w:val="000000"/>
                <w:kern w:val="0"/>
                <w:sz w:val="18"/>
                <w:szCs w:val="18"/>
              </w:rPr>
            </w:pPr>
            <w:r>
              <w:rPr>
                <w:rFonts w:ascii="宋体" w:hAnsi="宋体" w:cs="宋体" w:hint="eastAsia"/>
                <w:color w:val="000000"/>
                <w:kern w:val="0"/>
                <w:sz w:val="18"/>
                <w:szCs w:val="18"/>
              </w:rPr>
              <w:t>资产总额(Z)</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万元</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Z≥120000</w:t>
            </w:r>
          </w:p>
        </w:tc>
        <w:tc>
          <w:tcPr>
            <w:tcW w:w="1701"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8000≤Z＜120000</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100≤Z＜8000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Z＜100</w:t>
            </w:r>
          </w:p>
        </w:tc>
      </w:tr>
      <w:tr>
        <w:tblPrEx>
          <w:tblW w:w="0" w:type="auto"/>
          <w:jc w:val="center"/>
          <w:tblLayout w:type="fixed"/>
          <w:tblCellMar>
            <w:top w:w="0" w:type="dxa"/>
            <w:left w:w="108" w:type="dxa"/>
            <w:bottom w:w="0" w:type="dxa"/>
            <w:right w:w="108" w:type="dxa"/>
          </w:tblCellMar>
        </w:tblPrEx>
        <w:trPr>
          <w:trHeight w:hRule="exact" w:val="397"/>
          <w:jc w:val="center"/>
        </w:trPr>
        <w:tc>
          <w:tcPr>
            <w:tcW w:w="2113" w:type="dxa"/>
            <w:tcBorders>
              <w:top w:val="nil"/>
              <w:left w:val="nil"/>
              <w:bottom w:val="single" w:sz="4" w:space="0" w:color="auto"/>
              <w:right w:val="single" w:sz="4" w:space="0" w:color="auto"/>
            </w:tcBorders>
            <w:shd w:val="clear" w:color="auto" w:fill="auto"/>
            <w:vAlign w:val="center"/>
          </w:tcPr>
          <w:p>
            <w:pPr>
              <w:widowControl/>
              <w:spacing w:line="240" w:lineRule="exact"/>
              <w:jc w:val="left"/>
              <w:rPr>
                <w:rFonts w:ascii="宋体" w:hAnsi="宋体" w:cs="宋体"/>
                <w:color w:val="000000"/>
                <w:kern w:val="0"/>
                <w:sz w:val="18"/>
                <w:szCs w:val="18"/>
              </w:rPr>
            </w:pPr>
            <w:r>
              <w:rPr>
                <w:rFonts w:ascii="宋体" w:hAnsi="宋体" w:cs="宋体" w:hint="eastAsia"/>
                <w:color w:val="000000"/>
                <w:kern w:val="0"/>
                <w:sz w:val="18"/>
                <w:szCs w:val="18"/>
              </w:rPr>
              <w:t>其他未列明行业 *</w:t>
            </w:r>
          </w:p>
        </w:tc>
        <w:tc>
          <w:tcPr>
            <w:tcW w:w="136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从业人员(X)</w:t>
            </w:r>
          </w:p>
        </w:tc>
        <w:tc>
          <w:tcPr>
            <w:tcW w:w="709"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人</w:t>
            </w:r>
          </w:p>
        </w:tc>
        <w:tc>
          <w:tcPr>
            <w:tcW w:w="1125"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X≥300</w:t>
            </w:r>
          </w:p>
        </w:tc>
        <w:tc>
          <w:tcPr>
            <w:tcW w:w="1701" w:type="dxa"/>
            <w:tcBorders>
              <w:top w:val="nil"/>
              <w:left w:val="nil"/>
              <w:bottom w:val="single" w:sz="4" w:space="0" w:color="auto"/>
              <w:right w:val="single" w:sz="4" w:space="0" w:color="auto"/>
            </w:tcBorders>
            <w:shd w:val="clear" w:color="auto" w:fill="auto"/>
            <w:vAlign w:val="center"/>
          </w:tcPr>
          <w:p>
            <w:pPr>
              <w:widowControl/>
              <w:ind w:left="19" w:hanging="126" w:leftChars="-51" w:hangingChars="60"/>
              <w:jc w:val="center"/>
              <w:rPr>
                <w:rFonts w:ascii="宋体" w:hAnsi="宋体" w:cs="宋体"/>
                <w:color w:val="000000"/>
                <w:kern w:val="0"/>
                <w:sz w:val="18"/>
                <w:szCs w:val="18"/>
              </w:rPr>
            </w:pPr>
            <w:r>
              <w:rPr>
                <w:rFonts w:ascii="宋体" w:hAnsi="宋体" w:cs="宋体" w:hint="eastAsia"/>
                <w:color w:val="000000"/>
                <w:kern w:val="0"/>
                <w:sz w:val="18"/>
                <w:szCs w:val="18"/>
              </w:rPr>
              <w:t xml:space="preserve">100≤X＜300 </w:t>
            </w:r>
          </w:p>
        </w:tc>
        <w:tc>
          <w:tcPr>
            <w:tcW w:w="1426" w:type="dxa"/>
            <w:tcBorders>
              <w:top w:val="nil"/>
              <w:left w:val="nil"/>
              <w:bottom w:val="single" w:sz="4" w:space="0" w:color="auto"/>
              <w:right w:val="single" w:sz="4" w:space="0" w:color="auto"/>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10≤X＜100</w:t>
            </w:r>
          </w:p>
        </w:tc>
        <w:tc>
          <w:tcPr>
            <w:tcW w:w="992" w:type="dxa"/>
            <w:tcBorders>
              <w:top w:val="nil"/>
              <w:left w:val="nil"/>
              <w:bottom w:val="single" w:sz="4" w:space="0" w:color="auto"/>
              <w:right w:val="nil"/>
            </w:tcBorders>
            <w:shd w:val="clear" w:color="auto" w:fill="auto"/>
            <w:vAlign w:val="center"/>
          </w:tcPr>
          <w:p>
            <w:pPr>
              <w:widowControl/>
              <w:jc w:val="center"/>
              <w:rPr>
                <w:rFonts w:ascii="宋体" w:hAnsi="宋体" w:cs="宋体"/>
                <w:color w:val="000000"/>
                <w:kern w:val="0"/>
                <w:sz w:val="18"/>
                <w:szCs w:val="18"/>
              </w:rPr>
            </w:pPr>
            <w:r>
              <w:rPr>
                <w:rFonts w:ascii="宋体" w:hAnsi="宋体" w:cs="宋体" w:hint="eastAsia"/>
                <w:color w:val="000000"/>
                <w:kern w:val="0"/>
                <w:sz w:val="18"/>
                <w:szCs w:val="18"/>
              </w:rPr>
              <w:t>X＜10</w:t>
            </w:r>
          </w:p>
        </w:tc>
      </w:tr>
    </w:tbl>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说明：</w:t>
      </w: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1.大型、中型和小型企业须同时满足所列指标的下限，否则下划一档；微型企业只须满足所列指标中的一项即可。</w:t>
      </w: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2.附表中各行业的范围以《国民经济行业分类》（GB/T4754-2017）为准。带*的项为行业组合类别，其中，工业包括采矿业，制造业，电力、热力、燃气及水生产和供应业；交通运输业包括道路运输业，水上运输业，航空运输业，管道运输业，多式联运和运输代理业、装卸搬运，不包括铁路运输业；仓储业包括通用仓储，低温仓储，危险品仓储，谷物、棉花等农产品仓储，中药材仓储和其他仓储业;信息传输业包括电信、广播电视和卫星传输服务，互联网和相关服务；其他未列明行业包括科学研究和技术服务业，水利、环境和公共设施管理业，居民服务、修理和其他服务业，社会工作，文化、体育和娱乐业，以及房地产中介服务，其他房地产业等，不包括自有房地产经营活动。</w:t>
      </w:r>
    </w:p>
    <w:p>
      <w:pPr>
        <w:widowControl/>
        <w:spacing w:line="360" w:lineRule="auto"/>
        <w:ind w:firstLine="372" w:firstLineChars="177"/>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3.企业划分指标以现行统计制度为准。（1）从业人员，是指期末从业人员数，没有期末从业人员数的，采用全年平均人员数代替。（2）营业收入，工业、建筑业、限额以上批发和零售业、限额以上住宿和餐饮业以及其他设置主营业务收入指标的行业，采用主营业务收入；限额以下批发与零售业企业采用商品销售额代替；限额以下住宿与餐饮业企业采用营业额代替；农、林、牧、渔业企业采用营业总收入代替；其他未设置主营业务收入的行业，采用营业收入指标。（3）资产总额，采用资产总计代替。</w:t>
      </w:r>
    </w:p>
    <w:p>
      <w:pPr>
        <w:spacing w:line="360" w:lineRule="auto"/>
        <w:rPr>
          <w:rFonts w:asciiTheme="minorEastAsia" w:eastAsiaTheme="minorEastAsia" w:hAnsiTheme="minorEastAsia"/>
          <w:szCs w:val="21"/>
        </w:rPr>
      </w:pPr>
    </w:p>
    <w:p>
      <w:pPr>
        <w:pStyle w:val="Heading3"/>
        <w:spacing w:before="0" w:after="0"/>
        <w:jc w:val="center"/>
      </w:pPr>
      <w:bookmarkStart w:id="25" w:name="_Toc73610165"/>
      <w:bookmarkStart w:id="26" w:name="_Toc73613647"/>
      <w:r>
        <w:rPr>
          <w:rFonts w:hint="eastAsia"/>
        </w:rPr>
        <w:t>四、</w:t>
      </w:r>
      <w:r>
        <w:t>财政部 民政部 中国残疾人联合会关于促进残疾人就业 政府采购政策的通知</w:t>
      </w:r>
      <w:bookmarkEnd w:id="25"/>
      <w:bookmarkEnd w:id="26"/>
      <w:r>
        <w:t xml:space="preserve"> </w:t>
      </w:r>
    </w:p>
    <w:p>
      <w:pPr>
        <w:pStyle w:val="NormalWeb"/>
        <w:shd w:val="clear" w:color="auto" w:fill="FFFFFF"/>
        <w:spacing w:line="360" w:lineRule="auto"/>
        <w:jc w:val="center"/>
        <w:rPr>
          <w:rFonts w:asciiTheme="minorEastAsia" w:eastAsiaTheme="minorEastAsia" w:hAnsiTheme="minorEastAsia"/>
          <w:color w:val="000000"/>
          <w:sz w:val="21"/>
          <w:szCs w:val="21"/>
        </w:rPr>
      </w:pPr>
      <w:r>
        <w:rPr>
          <w:rFonts w:asciiTheme="minorEastAsia" w:eastAsiaTheme="minorEastAsia" w:hAnsiTheme="minorEastAsia"/>
          <w:color w:val="000000"/>
          <w:sz w:val="21"/>
          <w:szCs w:val="21"/>
        </w:rPr>
        <w:t>财库〔2017〕141号</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党中央有关部门，国务院各部委、各直属机构，全国人大常委会办公厅，全国政协办公厅，高法院，高检院，各民主党派中央，有关人民团体，各省、自治区、直辖市、计划单列市财政厅（局）、民政厅（局）、残疾人联合会，新疆生产建设兵团财务局、民政局、残疾人联合会：</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为了发挥政府采购促进残疾人就业的作用，进一步保障残疾人权益，依照《政府采购法》、《残疾人保障法》等法律法规及相关规定，现就促进残疾人就业政府采购政策通知如下：</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一、享受政府采购支持政策的残疾人福利性单位应当同时满足以下条件：</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（一）安置的残疾人占本单位在职职工人数的比例不低于25%（含25%），并且安置的残疾人人数不少于10人（含10人）；</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（二）依法与安置的每位残疾人签订了一年以上（含一年）的劳动合同或服务协议；</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（三）为安置的每位残疾人按月足额缴纳了基本养老保险、基本医疗保险、失业保险、工伤保险和生育保险等社会保险费；</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（四）通过银行等金融机构向安置的每位残疾人，按月支付了不低于单位所在区县适用的经省级人民政府批准的月最低工资标准的工资；</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（五）提供本单位制造的货物、承担的工程或者服务（以下简称产品），或者提供其他残疾人福利性单位制造的货物（不包括使用非残疾人福利性单位注册商标的货物）。</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前款所称残疾人是指法定劳动年龄内，持有《中华人民共和国残疾人证》或者《中华人民共和国残疾军人证（1至8级）》的自然人，包括具有劳动条件和劳动意愿的精神残疾人。在职职工人数是指与残疾人福利性单位建立劳动关系并依法签订劳动合同或者服务协议的雇员人数。</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二、符合条件的残疾人福利性单位在参加政府采购活动时，应当提供本通知规定的《残疾人福利性单位声明函》（见附件），并对声明的真实性负责。任何单位或者个人在政府采购活动中均不得要求残疾人福利性单位提供其他证明声明函内容的材料。</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中标、成交供应商为残疾人福利性单位的，采购人或者其委托的采购代理机构应当随中标、成交结果同时公告其《残疾人福利性单位声明函》，接受社会监督。</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供应商提供的《残疾人福利性单位声明函》与事实不符的，依照《政府采购法》第七十七条第一款的规定追究法律责任。</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三、在政府采购活动中，残疾人福利性单位视同小型、微型企业，享受预留份额、评审中价格扣除等促进中小企业发展的政府采购政策。向残疾人福利性单位采购的金额，计入面向中小企业采购的统计数据。残疾人福利性单位属于小型、微型企业的，不重复享受政策。</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四、采购人采购公开招标数额标准以上的货物或者服务，因落实促进残疾人就业政策的需要，依法履行有关报批程序后，可采用公开招标以外的采购方式。</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五、对于满足要求的残疾人福利性单位产品，集中采购机构可直接纳入协议供货或者定点采购范围。各地区建设的政府采购电子卖场、电子商城、网上超市等应当设立残疾人福利性单位产品专栏。鼓励采购人优先选择残疾人福利性单位的产品。</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六、省级财政部门可以结合本地区残疾人生产、经营的实际情况，细化政府采购支持措施。对符合国家有关部门规定条件的残疾人辅助性就业机构，可通过上述措施予以支持。各地制定的有关文件应当报财政部备案。</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七、本通知自2017年10月1日起执行。</w:t>
      </w:r>
    </w:p>
    <w:p>
      <w:pPr>
        <w:widowControl/>
        <w:spacing w:line="360" w:lineRule="auto"/>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　　</w:t>
      </w:r>
    </w:p>
    <w:p>
      <w:pPr>
        <w:widowControl/>
        <w:spacing w:line="360" w:lineRule="auto"/>
        <w:jc w:val="righ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财政部 民政部 中国残疾人联合会</w:t>
      </w:r>
    </w:p>
    <w:p>
      <w:pPr>
        <w:widowControl/>
        <w:spacing w:line="360" w:lineRule="auto"/>
        <w:jc w:val="right"/>
        <w:rPr>
          <w:rFonts w:asciiTheme="minorEastAsia" w:eastAsiaTheme="minorEastAsia" w:hAnsiTheme="minorEastAsia" w:cs="宋体"/>
          <w:kern w:val="0"/>
          <w:szCs w:val="21"/>
        </w:rPr>
      </w:pPr>
    </w:p>
    <w:p>
      <w:pPr>
        <w:widowControl/>
        <w:spacing w:line="360" w:lineRule="auto"/>
        <w:jc w:val="righ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2017年8月22日</w:t>
      </w:r>
    </w:p>
    <w:p>
      <w:pPr>
        <w:tabs>
          <w:tab w:val="left" w:pos="1875"/>
        </w:tabs>
      </w:pPr>
    </w:p>
    <w:p/>
    <w:p>
      <w:pPr>
        <w:pStyle w:val="Heading3"/>
        <w:spacing w:before="0" w:after="0"/>
        <w:jc w:val="center"/>
      </w:pPr>
      <w:r>
        <w:rPr>
          <w:rFonts w:hint="eastAsia"/>
        </w:rPr>
        <w:t>五、财政部 司法部关于政府采购支持监狱企业发展有关问题的通知</w:t>
      </w:r>
      <w:r>
        <w:t xml:space="preserve"> </w:t>
      </w:r>
    </w:p>
    <w:p>
      <w:pPr>
        <w:widowControl/>
        <w:spacing w:line="360" w:lineRule="auto"/>
        <w:jc w:val="center"/>
        <w:rPr>
          <w:rFonts w:asciiTheme="minorEastAsia" w:eastAsiaTheme="minorEastAsia" w:hAnsiTheme="minorEastAsia" w:cs="宋体"/>
          <w:kern w:val="0"/>
          <w:szCs w:val="21"/>
        </w:rPr>
      </w:pPr>
    </w:p>
    <w:p>
      <w:pPr>
        <w:widowControl/>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财库〔2014〕68号</w:t>
      </w:r>
    </w:p>
    <w:p>
      <w:pPr>
        <w:widowControl/>
        <w:spacing w:line="360" w:lineRule="auto"/>
        <w:jc w:val="left"/>
        <w:rPr>
          <w:rFonts w:asciiTheme="minorEastAsia" w:eastAsiaTheme="minorEastAsia" w:hAnsiTheme="minorEastAsia" w:cs="宋体"/>
          <w:kern w:val="0"/>
          <w:szCs w:val="21"/>
        </w:rPr>
      </w:pPr>
    </w:p>
    <w:p>
      <w:pPr>
        <w:widowControl/>
        <w:spacing w:line="360" w:lineRule="auto"/>
        <w:ind w:firstLine="424" w:firstLineChars="202"/>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党中央有关部门，国务院各部委、各直属机构，全国人大常委会办公厅，全国政协办公厅，高法院，高检院，有关人民团体，中央国家机关政府采购中心，中共中央直属机关采购中心，全国人大机关采购中心，各省、自治区、直辖市、计划单列市财政厅（局）、司法厅（局），新疆生产建设兵团财务局、司法局、监狱管理局：</w:t>
      </w:r>
    </w:p>
    <w:p>
      <w:pPr>
        <w:widowControl/>
        <w:spacing w:line="360" w:lineRule="auto"/>
        <w:ind w:firstLine="424" w:firstLineChars="202"/>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政府采购支持监狱和戒毒企业（以下简称监狱企业）发展对稳定监狱企业生产，提高财政资金使用效益，为罪犯和戒毒人员提供长期可靠的劳动岗位，提高罪犯和戒毒人员的教育改造质量，减少重新违法犯罪，确保监狱、戒毒场所安全稳定，促进社会和谐稳定具有十分重要的意义。为进一步贯彻落实国务院《关于解决监狱企业困难的实施方案的通知》（国发</w:t>
      </w:r>
      <w:r>
        <w:rPr>
          <w:rFonts w:asciiTheme="minorEastAsia" w:eastAsiaTheme="minorEastAsia" w:hAnsiTheme="minorEastAsia" w:cs="宋体"/>
          <w:kern w:val="0"/>
          <w:szCs w:val="21"/>
        </w:rPr>
        <w:t>[2003]7</w:t>
      </w:r>
      <w:r>
        <w:rPr>
          <w:rFonts w:asciiTheme="minorEastAsia" w:eastAsiaTheme="minorEastAsia" w:hAnsiTheme="minorEastAsia" w:cs="宋体" w:hint="eastAsia"/>
          <w:kern w:val="0"/>
          <w:szCs w:val="21"/>
        </w:rPr>
        <w:t>号）文件精神，发挥政府采购支持监狱企业发展的作用，现就有关事项通知如下：</w:t>
      </w:r>
    </w:p>
    <w:p>
      <w:pPr>
        <w:widowControl/>
        <w:spacing w:line="360" w:lineRule="auto"/>
        <w:ind w:firstLine="424" w:firstLineChars="202"/>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一、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参加政府采购活动时，应当提供由省级以上监狱管理局、戒毒管理局（含新疆生产建设兵团）出具的属于监狱企业的证明文件。</w:t>
      </w:r>
    </w:p>
    <w:p>
      <w:pPr>
        <w:widowControl/>
        <w:spacing w:line="360" w:lineRule="auto"/>
        <w:ind w:firstLine="424" w:firstLineChars="202"/>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二、在政府采购活动中，监狱企业视同小型、微型企业，享受预留份额、评审中价格扣除等政府采购促进中小企业发展的政府采购政策。向监狱企业采购的金额，计入面向中小企业采购的统计数据。</w:t>
      </w:r>
    </w:p>
    <w:p>
      <w:pPr>
        <w:widowControl/>
        <w:spacing w:line="360" w:lineRule="auto"/>
        <w:ind w:firstLine="424" w:firstLineChars="202"/>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三、各地区、各部门要积极通过预留采购份额支持监狱企业。有制服采购项目的部门，应加强对政府采购预算和计划编制工作的统筹，预留本部门制服采购项目预算总额的</w:t>
      </w:r>
      <w:r>
        <w:rPr>
          <w:rFonts w:asciiTheme="minorEastAsia" w:eastAsiaTheme="minorEastAsia" w:hAnsiTheme="minorEastAsia" w:cs="宋体"/>
          <w:kern w:val="0"/>
          <w:szCs w:val="21"/>
        </w:rPr>
        <w:t>30%</w:t>
      </w:r>
      <w:r>
        <w:rPr>
          <w:rFonts w:asciiTheme="minorEastAsia" w:eastAsiaTheme="minorEastAsia" w:hAnsiTheme="minorEastAsia" w:cs="宋体" w:hint="eastAsia"/>
          <w:kern w:val="0"/>
          <w:szCs w:val="21"/>
        </w:rPr>
        <w:t>以上，专门面向监狱企业采购。省级以上政府部门组织的公务员考试、招生考试、等级考试、资格考试的试卷印刷项目原则上应当在符合有关资质的监狱企业范围内采购。各地在免费教科书政府采购工作中，应当根据符合教科书印制资质的监狱企业情况，提出由监狱企业印刷的比例要求。</w:t>
      </w:r>
    </w:p>
    <w:p>
      <w:pPr>
        <w:widowControl/>
        <w:spacing w:line="360" w:lineRule="auto"/>
        <w:ind w:firstLine="424" w:firstLineChars="202"/>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四、各地区可以结合本地区实际，对监狱企业生产的办公用品、家具用具、车辆维修和提供的保养服务、消防设备等，提出预留份额等政府采购支持措施，加大对监狱企业产品的采购力度。</w:t>
      </w:r>
    </w:p>
    <w:p>
      <w:pPr>
        <w:widowControl/>
        <w:spacing w:line="360" w:lineRule="auto"/>
        <w:ind w:firstLine="424" w:firstLineChars="202"/>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五、各地区、各部门要高度重视，加强组织管理和监督，做好政府采购支持监狱企业发展的相关工作。有关部门要加强监管，确保面向监狱企业采购的工作依法依规进行。各监狱企业要不断提高监狱企业产品的质量和服务水平，为做好监狱企业产品政府采购工作提供有力保障。</w:t>
      </w:r>
    </w:p>
    <w:p>
      <w:pPr>
        <w:widowControl/>
        <w:spacing w:line="360" w:lineRule="auto"/>
        <w:jc w:val="left"/>
        <w:rPr>
          <w:rFonts w:asciiTheme="minorEastAsia" w:eastAsiaTheme="minorEastAsia" w:hAnsiTheme="minorEastAsia" w:cs="宋体"/>
          <w:kern w:val="0"/>
          <w:szCs w:val="21"/>
        </w:rPr>
      </w:pPr>
    </w:p>
    <w:p>
      <w:pPr>
        <w:widowControl/>
        <w:spacing w:line="360" w:lineRule="auto"/>
        <w:jc w:val="righ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中华人民共和国财政部</w:t>
      </w:r>
    </w:p>
    <w:p>
      <w:pPr>
        <w:widowControl/>
        <w:spacing w:line="360" w:lineRule="auto"/>
        <w:jc w:val="righ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中华人民共和国司法部</w:t>
      </w:r>
    </w:p>
    <w:p>
      <w:pPr>
        <w:widowControl/>
        <w:spacing w:line="360" w:lineRule="auto"/>
        <w:jc w:val="righ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2014年6月10日</w:t>
      </w:r>
    </w:p>
    <w:p>
      <w:pPr>
        <w:widowControl/>
        <w:spacing w:line="360" w:lineRule="auto"/>
        <w:jc w:val="center"/>
        <w:rPr>
          <w:rFonts w:asciiTheme="majorEastAsia" w:eastAsiaTheme="majorEastAsia" w:hAnsiTheme="majorEastAsia"/>
          <w:b/>
          <w:sz w:val="32"/>
          <w:szCs w:val="32"/>
        </w:rPr>
      </w:pPr>
      <w:r>
        <w:rPr>
          <w:rFonts w:asciiTheme="minorEastAsia" w:eastAsiaTheme="minorEastAsia" w:hAnsiTheme="minorEastAsia" w:cs="宋体"/>
          <w:kern w:val="0"/>
          <w:szCs w:val="21"/>
        </w:rPr>
        <w:br w:type="page"/>
      </w:r>
      <w:r>
        <w:rPr>
          <w:rFonts w:asciiTheme="majorEastAsia" w:eastAsiaTheme="majorEastAsia" w:hAnsiTheme="majorEastAsia" w:hint="eastAsia"/>
          <w:b/>
          <w:sz w:val="32"/>
          <w:szCs w:val="32"/>
        </w:rPr>
        <w:t>第二册  通用条款（公开招标）</w:t>
      </w:r>
    </w:p>
    <w:p>
      <w:pPr>
        <w:keepNext/>
        <w:keepLines/>
        <w:widowControl/>
        <w:numPr>
          <w:ilvl w:val="0"/>
          <w:numId w:val="2"/>
        </w:numPr>
        <w:adjustRightInd w:val="0"/>
        <w:spacing w:before="156" w:beforeLines="50" w:after="156" w:afterLines="50" w:line="360" w:lineRule="auto"/>
        <w:ind w:left="562" w:hanging="562"/>
        <w:jc w:val="center"/>
        <w:textAlignment w:val="baseline"/>
        <w:outlineLvl w:val="1"/>
        <w:rPr>
          <w:rFonts w:asciiTheme="majorEastAsia" w:eastAsiaTheme="majorEastAsia" w:hAnsiTheme="majorEastAsia"/>
          <w:b/>
          <w:bCs/>
          <w:kern w:val="0"/>
          <w:sz w:val="28"/>
          <w:szCs w:val="28"/>
        </w:rPr>
      </w:pPr>
      <w:bookmarkStart w:id="27" w:name="_Hlk72399513"/>
      <w:r>
        <w:rPr>
          <w:rFonts w:asciiTheme="majorEastAsia" w:eastAsiaTheme="majorEastAsia" w:hAnsiTheme="majorEastAsia" w:hint="eastAsia"/>
          <w:b/>
          <w:bCs/>
          <w:kern w:val="0"/>
          <w:sz w:val="28"/>
          <w:szCs w:val="28"/>
        </w:rPr>
        <w:t>总则</w:t>
      </w:r>
    </w:p>
    <w:p>
      <w:pPr>
        <w:spacing w:line="360" w:lineRule="auto"/>
        <w:outlineLvl w:val="1"/>
        <w:rPr>
          <w:rFonts w:asciiTheme="majorEastAsia" w:eastAsiaTheme="majorEastAsia" w:hAnsiTheme="majorEastAsia"/>
          <w:b/>
          <w:bCs/>
          <w:szCs w:val="21"/>
        </w:rPr>
      </w:pPr>
      <w:bookmarkEnd w:id="27"/>
      <w:r>
        <w:rPr>
          <w:rFonts w:asciiTheme="majorEastAsia" w:eastAsiaTheme="majorEastAsia" w:hAnsiTheme="majorEastAsia" w:hint="eastAsia"/>
          <w:b/>
          <w:bCs/>
          <w:szCs w:val="21"/>
        </w:rPr>
        <w:t>1. 通用条款说明</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1.1采购代理机构发出招标文件通用条款版本，列出深圳市政府采购项目进行招标采购所适用的通用条款内容。</w:t>
      </w:r>
      <w:bookmarkStart w:id="28" w:name="_Hlk72399729"/>
      <w:r>
        <w:rPr>
          <w:rFonts w:asciiTheme="majorEastAsia" w:eastAsiaTheme="majorEastAsia" w:hAnsiTheme="majorEastAsia" w:hint="eastAsia"/>
          <w:szCs w:val="21"/>
        </w:rPr>
        <w:t>如有需要，采购代理机构可以对通用条款的内容进行补充。</w:t>
      </w:r>
      <w:bookmarkEnd w:id="28"/>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1.2招标文件分为第一册“专用条款”和第二册“通用条款”。</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1.3“专用条款”是对本次采购项目的具体要求，包含招标公告、对通用条款的补充内容及其他关键信息、用户需求书、投标文件格式及附件、合同条款及格式等内容。</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1.4“通用条款”是适用于政府采购公开招标项目的基础性条款，具有普遍性和通用性。</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1.5 “专用条款”和“通用条款”表述不一致或有冲突时，以“专用条款”为准。</w:t>
      </w:r>
    </w:p>
    <w:p>
      <w:pPr>
        <w:spacing w:line="360" w:lineRule="auto"/>
        <w:outlineLvl w:val="1"/>
        <w:rPr>
          <w:rFonts w:asciiTheme="majorEastAsia" w:eastAsiaTheme="majorEastAsia" w:hAnsiTheme="majorEastAsia"/>
          <w:b/>
          <w:bCs/>
          <w:szCs w:val="21"/>
        </w:rPr>
      </w:pPr>
      <w:r>
        <w:rPr>
          <w:rFonts w:asciiTheme="majorEastAsia" w:eastAsiaTheme="majorEastAsia" w:hAnsiTheme="majorEastAsia" w:hint="eastAsia"/>
          <w:b/>
          <w:bCs/>
          <w:szCs w:val="21"/>
        </w:rPr>
        <w:t>2</w:t>
      </w:r>
      <w:r>
        <w:rPr>
          <w:rFonts w:asciiTheme="majorEastAsia" w:eastAsiaTheme="majorEastAsia" w:hAnsiTheme="majorEastAsia"/>
          <w:b/>
          <w:bCs/>
          <w:szCs w:val="21"/>
        </w:rPr>
        <w:t>．</w:t>
      </w:r>
      <w:r>
        <w:rPr>
          <w:rFonts w:asciiTheme="majorEastAsia" w:eastAsiaTheme="majorEastAsia" w:hAnsiTheme="majorEastAsia" w:hint="eastAsia"/>
          <w:b/>
          <w:bCs/>
          <w:szCs w:val="21"/>
        </w:rPr>
        <w:t>招标说明</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本项目按照《深圳经济特区政府采购条例》、《深圳经济特区政府采购条例实施细则》及政府采购其他法律法规，通过公开招标方式确定中标供应商。</w:t>
      </w:r>
    </w:p>
    <w:p>
      <w:pPr>
        <w:spacing w:line="360" w:lineRule="auto"/>
        <w:outlineLvl w:val="1"/>
        <w:rPr>
          <w:rFonts w:asciiTheme="majorEastAsia" w:eastAsiaTheme="majorEastAsia" w:hAnsiTheme="majorEastAsia"/>
          <w:b/>
          <w:bCs/>
          <w:szCs w:val="21"/>
        </w:rPr>
      </w:pPr>
      <w:r>
        <w:rPr>
          <w:rFonts w:asciiTheme="majorEastAsia" w:eastAsiaTheme="majorEastAsia" w:hAnsiTheme="majorEastAsia" w:hint="eastAsia"/>
          <w:b/>
          <w:bCs/>
          <w:szCs w:val="21"/>
        </w:rPr>
        <w:t>3．定义</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szCs w:val="21"/>
        </w:rPr>
        <w:t>招标文件中下列术语应解释为：</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w:t>
      </w:r>
      <w:r>
        <w:rPr>
          <w:rFonts w:asciiTheme="majorEastAsia" w:eastAsiaTheme="majorEastAsia" w:hAnsiTheme="majorEastAsia"/>
          <w:szCs w:val="21"/>
        </w:rPr>
        <w:t>1</w:t>
      </w:r>
      <w:r>
        <w:rPr>
          <w:rFonts w:asciiTheme="majorEastAsia" w:eastAsiaTheme="majorEastAsia" w:hAnsiTheme="majorEastAsia" w:hint="eastAsia"/>
          <w:szCs w:val="21"/>
        </w:rPr>
        <w:t>“采购人”：指利用财政性资金依法进行政府采购的国家机关、事业单位、团体组织；</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 “政府集中采购机构”</w:t>
      </w:r>
      <w:r>
        <w:rPr>
          <w:rFonts w:asciiTheme="majorEastAsia" w:eastAsiaTheme="majorEastAsia" w:hAnsiTheme="majorEastAsia" w:cs="Arial" w:hint="eastAsia"/>
          <w:szCs w:val="21"/>
          <w:shd w:val="clear" w:color="auto" w:fill="FFFFFF"/>
        </w:rPr>
        <w:t>是指市政府设立的，对纳入集中采购目录内的采购项目组织实施采购，并对政府采购活动提供服务的专门机构；</w:t>
      </w:r>
      <w:r>
        <w:rPr>
          <w:rFonts w:asciiTheme="majorEastAsia" w:eastAsiaTheme="majorEastAsia" w:hAnsiTheme="majorEastAsia" w:hint="eastAsia"/>
          <w:szCs w:val="21"/>
        </w:rPr>
        <w:t>本文件所述的“政府集中采购机构”</w:t>
      </w:r>
      <w:r>
        <w:rPr>
          <w:rFonts w:asciiTheme="majorEastAsia" w:eastAsiaTheme="majorEastAsia" w:hAnsiTheme="majorEastAsia"/>
          <w:szCs w:val="21"/>
        </w:rPr>
        <w:t>指</w:t>
      </w:r>
      <w:r>
        <w:rPr>
          <w:rFonts w:asciiTheme="majorEastAsia" w:eastAsiaTheme="majorEastAsia" w:hAnsiTheme="majorEastAsia" w:hint="eastAsia"/>
          <w:szCs w:val="21"/>
        </w:rPr>
        <w:t>深圳公共资源交易中心；</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3.3“采购代理机构”是指根据采购人委托，代理政府采购事宜的社会采购代理机构。本招标文件的招标机构特指</w:t>
      </w:r>
      <w:r>
        <w:rPr>
          <w:rFonts w:asciiTheme="majorEastAsia" w:eastAsiaTheme="majorEastAsia" w:hAnsiTheme="majorEastAsia" w:hint="eastAsia"/>
          <w:b/>
          <w:bCs/>
          <w:szCs w:val="21"/>
        </w:rPr>
        <w:t>深圳市中正招标有限公司；</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3.4“投标人”，即供应商，指参加投标竞争并愿意按照招标文件要求向采购人提供货物、工程或者服务的依法成立的法人、其他组织或者自然人；</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3.5“评审委员会”是依据《深圳经济特区政府采购条例》、《深圳经济特区政府采购条例实施细则》等有关规定组建的专门负责本次招标其评审工作的临时性机构；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3.6“日期”</w:t>
      </w:r>
      <w:r>
        <w:rPr>
          <w:rFonts w:asciiTheme="majorEastAsia" w:eastAsiaTheme="majorEastAsia" w:hAnsiTheme="majorEastAsia"/>
          <w:szCs w:val="21"/>
        </w:rPr>
        <w:t>指</w:t>
      </w:r>
      <w:r>
        <w:rPr>
          <w:rFonts w:asciiTheme="majorEastAsia" w:eastAsiaTheme="majorEastAsia" w:hAnsiTheme="majorEastAsia" w:hint="eastAsia"/>
          <w:szCs w:val="21"/>
        </w:rPr>
        <w:t>公历日；</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3.7“合同”指由本次招标所产生的合同或合约文件；</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3.8“电子投标文件”指利用</w:t>
      </w:r>
      <w:r>
        <w:rPr>
          <w:rFonts w:asciiTheme="majorEastAsia" w:eastAsiaTheme="majorEastAsia" w:hAnsiTheme="majorEastAsia" w:hint="eastAsia"/>
          <w:bCs/>
          <w:szCs w:val="21"/>
        </w:rPr>
        <w:t>深圳公共资源交易网</w:t>
      </w:r>
      <w:r>
        <w:rPr>
          <w:rFonts w:asciiTheme="majorEastAsia" w:eastAsiaTheme="majorEastAsia" w:hAnsiTheme="majorEastAsia" w:hint="eastAsia"/>
          <w:szCs w:val="21"/>
        </w:rPr>
        <w:t>站提供的深圳智慧采购平台投标文件制作专用软件（以下简称：投标文件制作软件）制作并加密的投标文件,适用于网上投标；（投标文件制作软件可从“下载地址：</w:t>
      </w:r>
      <w:r>
        <w:rPr>
          <w:rFonts w:asciiTheme="majorEastAsia" w:eastAsiaTheme="majorEastAsia" w:hAnsiTheme="majorEastAsia"/>
          <w:szCs w:val="21"/>
        </w:rPr>
        <w:t>http://zfcg.szggzy.com/</w:t>
      </w:r>
      <w:r>
        <w:rPr>
          <w:rFonts w:asciiTheme="majorEastAsia" w:eastAsiaTheme="majorEastAsia" w:hAnsiTheme="majorEastAsia" w:hint="eastAsia"/>
          <w:szCs w:val="21"/>
        </w:rPr>
        <w:t>TPBidder/DownLoad/深圳市智慧采购平台投标文件制作专用软件.zip”下载）；</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3.9“网上投标”指通过</w:t>
      </w:r>
      <w:r>
        <w:rPr>
          <w:rFonts w:asciiTheme="majorEastAsia" w:eastAsiaTheme="majorEastAsia" w:hAnsiTheme="majorEastAsia" w:hint="eastAsia"/>
          <w:bCs/>
          <w:szCs w:val="21"/>
        </w:rPr>
        <w:t>深圳公共资源交易网</w:t>
      </w:r>
      <w:r>
        <w:rPr>
          <w:rFonts w:asciiTheme="majorEastAsia" w:eastAsiaTheme="majorEastAsia" w:hAnsiTheme="majorEastAsia" w:hint="eastAsia"/>
          <w:szCs w:val="21"/>
        </w:rPr>
        <w:t>站上传电子投标文件；</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3.10招标文件中的标题或题名仅起引导作用，而不应视为对招标文件内容的理解和解释。</w:t>
      </w:r>
    </w:p>
    <w:p>
      <w:pPr>
        <w:spacing w:line="360" w:lineRule="auto"/>
        <w:outlineLvl w:val="1"/>
        <w:rPr>
          <w:rFonts w:asciiTheme="majorEastAsia" w:eastAsiaTheme="majorEastAsia" w:hAnsiTheme="majorEastAsia"/>
          <w:b/>
          <w:bCs/>
          <w:szCs w:val="21"/>
        </w:rPr>
      </w:pPr>
      <w:r>
        <w:rPr>
          <w:rFonts w:asciiTheme="majorEastAsia" w:eastAsiaTheme="majorEastAsia" w:hAnsiTheme="majorEastAsia" w:hint="eastAsia"/>
          <w:b/>
          <w:bCs/>
          <w:szCs w:val="21"/>
        </w:rPr>
        <w:t xml:space="preserve">4. </w:t>
      </w:r>
      <w:bookmarkStart w:id="29" w:name="_Hlk72398643"/>
      <w:r>
        <w:rPr>
          <w:rFonts w:asciiTheme="majorEastAsia" w:eastAsiaTheme="majorEastAsia" w:hAnsiTheme="majorEastAsia" w:hint="eastAsia"/>
          <w:b/>
          <w:bCs/>
          <w:szCs w:val="21"/>
        </w:rPr>
        <w:t>政府采购供应商责任</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4.1欢迎诚信、有实力和有社会责任心的供应商参与政府采购事业。</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4.2投标人应当遵循公平竞争的原则，不得恶意串通，不得妨碍其他投标人的竞争行为，不得损害采购人或者其他投标人的合法权益。如违反上述要求，经核实后，供应商的投标无效。</w:t>
      </w:r>
    </w:p>
    <w:p>
      <w:pPr>
        <w:spacing w:line="360" w:lineRule="auto"/>
        <w:outlineLvl w:val="1"/>
        <w:rPr>
          <w:rFonts w:asciiTheme="majorEastAsia" w:eastAsiaTheme="majorEastAsia" w:hAnsiTheme="majorEastAsia"/>
          <w:b/>
          <w:bCs/>
          <w:szCs w:val="21"/>
        </w:rPr>
      </w:pPr>
      <w:r>
        <w:rPr>
          <w:rFonts w:asciiTheme="majorEastAsia" w:eastAsiaTheme="majorEastAsia" w:hAnsiTheme="majorEastAsia" w:hint="eastAsia"/>
          <w:b/>
          <w:bCs/>
          <w:szCs w:val="21"/>
        </w:rPr>
        <w:t>5．投标人参加政府采购的条件</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5.1投标人应在投标前到</w:t>
      </w:r>
      <w:r>
        <w:rPr>
          <w:rFonts w:asciiTheme="majorEastAsia" w:eastAsiaTheme="majorEastAsia" w:hAnsiTheme="majorEastAsia" w:hint="eastAsia"/>
          <w:b/>
          <w:bCs/>
          <w:szCs w:val="21"/>
        </w:rPr>
        <w:t>深圳公共资源交易中心（具体在深圳交易集团有限公司政府采购业务分公司进行办理）</w:t>
      </w:r>
      <w:r>
        <w:rPr>
          <w:rFonts w:asciiTheme="majorEastAsia" w:eastAsiaTheme="majorEastAsia" w:hAnsiTheme="majorEastAsia" w:hint="eastAsia"/>
          <w:szCs w:val="21"/>
        </w:rPr>
        <w:t>进行注册并办理电子密钥。《</w:t>
      </w:r>
      <w:r>
        <w:fldChar w:fldCharType="begin"/>
      </w:r>
      <w:r>
        <w:instrText xml:space="preserve"> HYPERLINK "http://www.szzfcg.cn/viewer.do?id=2455258" \t "documentViewer2455258" </w:instrText>
      </w:r>
      <w:r>
        <w:fldChar w:fldCharType="separate"/>
      </w:r>
      <w:r>
        <w:rPr>
          <w:rFonts w:asciiTheme="majorEastAsia" w:eastAsiaTheme="majorEastAsia" w:hAnsiTheme="majorEastAsia"/>
          <w:szCs w:val="21"/>
        </w:rPr>
        <w:t>供应商注册及电子密钥新申请指引</w:t>
      </w:r>
      <w:r>
        <w:rPr>
          <w:rFonts w:asciiTheme="majorEastAsia" w:eastAsiaTheme="majorEastAsia" w:hAnsiTheme="majorEastAsia"/>
          <w:szCs w:val="21"/>
        </w:rPr>
        <w:fldChar w:fldCharType="end"/>
      </w:r>
      <w:r>
        <w:rPr>
          <w:rFonts w:asciiTheme="majorEastAsia" w:eastAsiaTheme="majorEastAsia" w:hAnsiTheme="majorEastAsia" w:hint="eastAsia"/>
          <w:szCs w:val="21"/>
        </w:rPr>
        <w:t>》详见</w:t>
      </w:r>
      <w:r>
        <w:rPr>
          <w:rFonts w:asciiTheme="majorEastAsia" w:eastAsiaTheme="majorEastAsia" w:hAnsiTheme="majorEastAsia"/>
          <w:szCs w:val="21"/>
        </w:rPr>
        <w:t>http://zfcg.szggzy.com/</w:t>
      </w:r>
      <w:r>
        <w:rPr>
          <w:rFonts w:asciiTheme="majorEastAsia" w:eastAsiaTheme="majorEastAsia" w:hAnsiTheme="majorEastAsia" w:hint="eastAsia"/>
          <w:szCs w:val="21"/>
        </w:rPr>
        <w:t>。</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5.2投标人资格要求</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参加本项目的投标人应具备的资格条件详见本项目招标公告中 “投标人资格要求”（即申请人的资格要求）的内容。</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5.3联合体投标</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5.3.1　以下有关联合体投标的条款仅适用于允许投标人组成联合体投标的项目。</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5.3.2  由两个或两个以上的自然人、法人或者其他组织可以组成一个联合体，以一个供应商的身份共同投标时，应符合以下原则：</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（1）投标联合体各方参加政府采购活动应当具备下列条件：</w:t>
      </w:r>
    </w:p>
    <w:p>
      <w:pPr>
        <w:spacing w:line="360" w:lineRule="auto"/>
        <w:ind w:left="420" w:firstLine="412" w:leftChars="200" w:firstLineChars="196"/>
        <w:rPr>
          <w:rFonts w:asciiTheme="majorEastAsia" w:eastAsiaTheme="majorEastAsia" w:hAnsiTheme="majorEastAsia"/>
          <w:szCs w:val="21"/>
        </w:rPr>
      </w:pPr>
      <w:r>
        <w:rPr>
          <w:rFonts w:asciiTheme="majorEastAsia" w:eastAsiaTheme="majorEastAsia" w:hAnsiTheme="majorEastAsia" w:hint="eastAsia"/>
          <w:szCs w:val="21"/>
        </w:rPr>
        <w:t>1、具有独立承担民事责任的能力；</w:t>
      </w:r>
    </w:p>
    <w:p>
      <w:pPr>
        <w:spacing w:line="360" w:lineRule="auto"/>
        <w:ind w:left="420" w:firstLine="412" w:firstLineChars="196"/>
        <w:rPr>
          <w:rFonts w:asciiTheme="majorEastAsia" w:eastAsiaTheme="majorEastAsia" w:hAnsiTheme="majorEastAsia"/>
          <w:szCs w:val="21"/>
        </w:rPr>
      </w:pPr>
      <w:r>
        <w:rPr>
          <w:rFonts w:asciiTheme="majorEastAsia" w:eastAsiaTheme="majorEastAsia" w:hAnsiTheme="majorEastAsia" w:hint="eastAsia"/>
          <w:szCs w:val="21"/>
        </w:rPr>
        <w:t>2、有良好的商业信誉和健全的财务会计制度；</w:t>
      </w:r>
    </w:p>
    <w:p>
      <w:pPr>
        <w:spacing w:line="360" w:lineRule="auto"/>
        <w:ind w:left="420" w:firstLine="412" w:leftChars="200" w:firstLineChars="196"/>
        <w:rPr>
          <w:rFonts w:asciiTheme="majorEastAsia" w:eastAsiaTheme="majorEastAsia" w:hAnsiTheme="majorEastAsia"/>
          <w:szCs w:val="21"/>
        </w:rPr>
      </w:pPr>
      <w:r>
        <w:rPr>
          <w:rFonts w:asciiTheme="majorEastAsia" w:eastAsiaTheme="majorEastAsia" w:hAnsiTheme="majorEastAsia" w:hint="eastAsia"/>
          <w:szCs w:val="21"/>
        </w:rPr>
        <w:t>3、具有履行合同所必需的设备和专业技术能力；</w:t>
      </w:r>
    </w:p>
    <w:p>
      <w:pPr>
        <w:spacing w:line="360" w:lineRule="auto"/>
        <w:ind w:left="420" w:firstLine="412" w:leftChars="200" w:firstLineChars="196"/>
        <w:rPr>
          <w:rFonts w:asciiTheme="majorEastAsia" w:eastAsiaTheme="majorEastAsia" w:hAnsiTheme="majorEastAsia"/>
          <w:szCs w:val="21"/>
        </w:rPr>
      </w:pPr>
      <w:r>
        <w:rPr>
          <w:rFonts w:asciiTheme="majorEastAsia" w:eastAsiaTheme="majorEastAsia" w:hAnsiTheme="majorEastAsia" w:hint="eastAsia"/>
          <w:szCs w:val="21"/>
        </w:rPr>
        <w:t>4、有依法缴纳税收和社会保障资金的良好记录；</w:t>
      </w:r>
    </w:p>
    <w:p>
      <w:pPr>
        <w:spacing w:line="360" w:lineRule="auto"/>
        <w:ind w:left="420" w:firstLine="412" w:leftChars="200" w:firstLineChars="196"/>
        <w:rPr>
          <w:rFonts w:asciiTheme="majorEastAsia" w:eastAsiaTheme="majorEastAsia" w:hAnsiTheme="majorEastAsia"/>
          <w:szCs w:val="21"/>
        </w:rPr>
      </w:pPr>
      <w:r>
        <w:rPr>
          <w:rFonts w:asciiTheme="majorEastAsia" w:eastAsiaTheme="majorEastAsia" w:hAnsiTheme="majorEastAsia" w:hint="eastAsia"/>
          <w:szCs w:val="21"/>
        </w:rPr>
        <w:t>5、参加政府采购活动前三年内，在经营活动中没有重大违法记录；</w:t>
      </w:r>
    </w:p>
    <w:p>
      <w:pPr>
        <w:spacing w:line="360" w:lineRule="auto"/>
        <w:ind w:left="420" w:firstLine="412" w:leftChars="200" w:firstLineChars="196"/>
        <w:rPr>
          <w:rFonts w:asciiTheme="majorEastAsia" w:eastAsiaTheme="majorEastAsia" w:hAnsiTheme="majorEastAsia"/>
          <w:szCs w:val="21"/>
        </w:rPr>
      </w:pPr>
      <w:r>
        <w:rPr>
          <w:rFonts w:asciiTheme="majorEastAsia" w:eastAsiaTheme="majorEastAsia" w:hAnsiTheme="majorEastAsia" w:hint="eastAsia"/>
          <w:szCs w:val="21"/>
        </w:rPr>
        <w:t>6、法律、行政法规规定的其他条件。</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（2）联合体中有同类资质的供应商按照联合体分工承担相同工作的，应当按照资质等级较低的供应商确定资质等级；</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（3）是否允许联合体参加投标，应当由采购人和采购代理机构根据项目的实际情况和潜在供应商的数量自主决定，如果决定接受联合体投标则应当在招标公告中明示；</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（4）投标人的投标文件及中标后签署的合同协议对联合体各方均具法律约束力；</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（5）联合体各方应当签订联合体投标协议，明确约定各方拟承担的工作和责任，并将该协议随投标文件一并递交给采购代理机构；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（6）联合体中标后，联合体各方应当共同与采购人签订合同，就中标项目向采购人承担连带责任；</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7）以联合体形式参加政府采购活动的，联合体各方不得再单独参加或者与其他供应商另外组成联合体参加同一合同项下的政府采购活动，出现上述情况者，其投标和与此有关联合体、总包单位的投标将被拒绝；</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（8）本通用条款中“投标人”一词亦指联合体各方，专用条款另有规定或说明的除外。</w:t>
      </w:r>
    </w:p>
    <w:p>
      <w:pPr>
        <w:spacing w:line="360" w:lineRule="auto"/>
        <w:outlineLvl w:val="1"/>
        <w:rPr>
          <w:rFonts w:asciiTheme="majorEastAsia" w:eastAsiaTheme="majorEastAsia" w:hAnsiTheme="majorEastAsia"/>
          <w:b/>
          <w:bCs/>
          <w:szCs w:val="21"/>
        </w:rPr>
      </w:pPr>
      <w:r>
        <w:rPr>
          <w:rFonts w:asciiTheme="majorEastAsia" w:eastAsiaTheme="majorEastAsia" w:hAnsiTheme="majorEastAsia" w:hint="eastAsia"/>
          <w:b/>
          <w:bCs/>
          <w:szCs w:val="21"/>
        </w:rPr>
        <w:t>6．政策导向</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6.1政府采购扶持贫困地区、中小企业、监狱企业和残疾人福利性单位发展，支持节能减排、环境保护。</w:t>
      </w:r>
    </w:p>
    <w:p>
      <w:pPr>
        <w:spacing w:line="360" w:lineRule="auto"/>
        <w:ind w:firstLine="405"/>
        <w:rPr>
          <w:rFonts w:asciiTheme="majorEastAsia" w:eastAsiaTheme="majorEastAsia" w:hAnsiTheme="majorEastAsia"/>
          <w:szCs w:val="21"/>
          <w:shd w:val="clear" w:color="auto" w:fill="FFFFFF"/>
        </w:rPr>
      </w:pPr>
      <w:r>
        <w:rPr>
          <w:rFonts w:asciiTheme="majorEastAsia" w:eastAsiaTheme="majorEastAsia" w:hAnsiTheme="majorEastAsia" w:hint="eastAsia"/>
          <w:szCs w:val="21"/>
        </w:rPr>
        <w:t>6.2本项目落实深圳市政府采购供应商诚信管理政策要求。</w:t>
      </w:r>
    </w:p>
    <w:p>
      <w:pPr>
        <w:spacing w:line="360" w:lineRule="auto"/>
        <w:outlineLvl w:val="1"/>
        <w:rPr>
          <w:rFonts w:asciiTheme="majorEastAsia" w:eastAsiaTheme="majorEastAsia" w:hAnsiTheme="majorEastAsia"/>
          <w:b/>
          <w:bCs/>
          <w:szCs w:val="21"/>
        </w:rPr>
      </w:pPr>
      <w:r>
        <w:rPr>
          <w:rFonts w:asciiTheme="majorEastAsia" w:eastAsiaTheme="majorEastAsia" w:hAnsiTheme="majorEastAsia" w:hint="eastAsia"/>
          <w:b/>
          <w:bCs/>
          <w:szCs w:val="21"/>
        </w:rPr>
        <w:t>7. 本项目若涉及采购货物，则合格的货物及相应服务应满足以下要求：</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7</w:t>
      </w:r>
      <w:r>
        <w:rPr>
          <w:rFonts w:asciiTheme="majorEastAsia" w:eastAsiaTheme="majorEastAsia" w:hAnsiTheme="majorEastAsia"/>
          <w:szCs w:val="21"/>
        </w:rPr>
        <w:t xml:space="preserve">.1  </w:t>
      </w:r>
      <w:r>
        <w:rPr>
          <w:rFonts w:asciiTheme="majorEastAsia" w:eastAsiaTheme="majorEastAsia" w:hAnsiTheme="majorEastAsia" w:hint="eastAsia"/>
          <w:szCs w:val="21"/>
        </w:rPr>
        <w:t>必须是全新、未使用过的原装合格正品（包括零部件），如安装或配置了软件的，须为正版软件。</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7.2  国产的货物及其有关服务必须符合中华人民共和国的设计、制造生产标准及行业标准。招标公告有其他要求的，亦应符合其要求。</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7</w:t>
      </w:r>
      <w:r>
        <w:rPr>
          <w:rFonts w:asciiTheme="majorEastAsia" w:eastAsiaTheme="majorEastAsia" w:hAnsiTheme="majorEastAsia"/>
          <w:szCs w:val="21"/>
        </w:rPr>
        <w:t>.</w:t>
      </w:r>
      <w:r>
        <w:rPr>
          <w:rFonts w:asciiTheme="majorEastAsia" w:eastAsiaTheme="majorEastAsia" w:hAnsiTheme="majorEastAsia" w:hint="eastAsia"/>
          <w:szCs w:val="21"/>
        </w:rPr>
        <w:t>3进口货物及其有关服务必须符合原产地和中华人民共和国的设计、制造生产标准及行业标准。进口的货物必须具有合法的进口手续和途径，并通过中华人民共和国商检部门检验。招标公告有其他要求的，亦应符合其要求。</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7</w:t>
      </w:r>
      <w:r>
        <w:rPr>
          <w:rFonts w:asciiTheme="majorEastAsia" w:eastAsiaTheme="majorEastAsia" w:hAnsiTheme="majorEastAsia"/>
          <w:szCs w:val="21"/>
        </w:rPr>
        <w:t>.</w:t>
      </w:r>
      <w:r>
        <w:rPr>
          <w:rFonts w:asciiTheme="majorEastAsia" w:eastAsiaTheme="majorEastAsia" w:hAnsiTheme="majorEastAsia" w:hint="eastAsia"/>
          <w:szCs w:val="21"/>
        </w:rPr>
        <w:t>4投标人</w:t>
      </w:r>
      <w:bookmarkStart w:id="30" w:name="_Hlk72152753"/>
      <w:r>
        <w:rPr>
          <w:rFonts w:asciiTheme="majorEastAsia" w:eastAsiaTheme="majorEastAsia" w:hAnsiTheme="majorEastAsia" w:hint="eastAsia"/>
          <w:szCs w:val="21"/>
        </w:rPr>
        <w:t>应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投标人应承担全部责任。</w:t>
      </w:r>
      <w:bookmarkEnd w:id="30"/>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7.5  投标人应保证，其所提供的货物符合国家强制性标准要求；符合相关行业标准（如具备行政主管部门颁发的资质证书或国家质量监督部门的产品《检验报告》等）。设备到货验收时，还必须提供设备的产品合格证、质量保证文件。若中标后，除非另有约定，投标人必须按合同规定完成设备的安装，并达到验收标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7.6  工期要求：投标人在投标时对其所投项目应提交交货进度、交货计划等，在合同规定的时间内完成项目实施工作。</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7.7  投标人必须承担的设备运输、安装调试、验收检测和提供设备操作说明书、图纸等其他相关及类似的义务。</w:t>
      </w:r>
    </w:p>
    <w:p>
      <w:pPr>
        <w:spacing w:line="360" w:lineRule="auto"/>
        <w:outlineLvl w:val="1"/>
        <w:rPr>
          <w:rFonts w:asciiTheme="majorEastAsia" w:eastAsiaTheme="majorEastAsia" w:hAnsiTheme="majorEastAsia"/>
          <w:b/>
          <w:bCs/>
          <w:szCs w:val="21"/>
        </w:rPr>
      </w:pPr>
      <w:r>
        <w:rPr>
          <w:rFonts w:asciiTheme="majorEastAsia" w:eastAsiaTheme="majorEastAsia" w:hAnsiTheme="majorEastAsia" w:hint="eastAsia"/>
          <w:b/>
          <w:bCs/>
          <w:szCs w:val="21"/>
        </w:rPr>
        <w:t>8．投标费用</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不论投标结果如何，投标人应承担其编制投标文件与递交投标文件所涉及的一切费用。</w:t>
      </w:r>
    </w:p>
    <w:p>
      <w:pPr>
        <w:spacing w:line="360" w:lineRule="auto"/>
        <w:outlineLvl w:val="1"/>
        <w:rPr>
          <w:rFonts w:asciiTheme="majorEastAsia" w:eastAsiaTheme="majorEastAsia" w:hAnsiTheme="majorEastAsia"/>
          <w:b/>
          <w:bCs/>
          <w:szCs w:val="21"/>
        </w:rPr>
      </w:pPr>
      <w:r>
        <w:rPr>
          <w:rFonts w:asciiTheme="majorEastAsia" w:eastAsiaTheme="majorEastAsia" w:hAnsiTheme="majorEastAsia" w:hint="eastAsia"/>
          <w:b/>
          <w:bCs/>
          <w:szCs w:val="21"/>
        </w:rPr>
        <w:t>9．踏勘现场</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9.1如有需要（详见专用条款），采购人或采购代理机构将组织投标人对项目现场及周围环境进行踏勘，以便投标人获取有关编制投标文件和签署合同所需的资料。踏勘现场所发生的费用由投标人自行承担。投标人应按招标文件所约定的时间、地点踏勘现场。</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9.2投标人及其人员经过采购人的允许，可以进入采购人的项目现场踏勘。若招标文件要求投标人于统一时间地点踏勘现场的，投标人应当按时前往。</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9.3采购人应当通过采购代理机构向投标人提供有关现场的书面资料和数据。</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9.4任何人或任何组织在踏勘现场时向投标人提供的任何书面资料或口头承诺，未经采购代理机构在网上发布或书面通知，均作无效处理。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9</w:t>
      </w:r>
      <w:r>
        <w:rPr>
          <w:rFonts w:asciiTheme="majorEastAsia" w:eastAsiaTheme="majorEastAsia" w:hAnsiTheme="majorEastAsia" w:hint="eastAsia"/>
          <w:szCs w:val="21"/>
        </w:rPr>
        <w:t>.</w:t>
      </w:r>
      <w:r>
        <w:rPr>
          <w:rFonts w:asciiTheme="majorEastAsia" w:eastAsiaTheme="majorEastAsia" w:hAnsiTheme="majorEastAsia"/>
          <w:szCs w:val="21"/>
        </w:rPr>
        <w:t>5</w:t>
      </w:r>
      <w:r>
        <w:rPr>
          <w:rFonts w:asciiTheme="majorEastAsia" w:eastAsiaTheme="majorEastAsia" w:hAnsiTheme="majorEastAsia" w:hint="eastAsia"/>
          <w:szCs w:val="21"/>
        </w:rPr>
        <w:t>未参与踏勘现场不作为否定投标人资格的理由。</w:t>
      </w:r>
    </w:p>
    <w:p>
      <w:pPr>
        <w:spacing w:line="360" w:lineRule="auto"/>
        <w:outlineLvl w:val="1"/>
        <w:rPr>
          <w:rFonts w:asciiTheme="majorEastAsia" w:eastAsiaTheme="majorEastAsia" w:hAnsiTheme="majorEastAsia"/>
          <w:b/>
          <w:bCs/>
          <w:szCs w:val="21"/>
        </w:rPr>
      </w:pPr>
      <w:r>
        <w:rPr>
          <w:rFonts w:asciiTheme="majorEastAsia" w:eastAsiaTheme="majorEastAsia" w:hAnsiTheme="majorEastAsia" w:hint="eastAsia"/>
          <w:b/>
          <w:bCs/>
          <w:szCs w:val="21"/>
        </w:rPr>
        <w:t>1</w:t>
      </w:r>
      <w:r>
        <w:rPr>
          <w:rFonts w:asciiTheme="majorEastAsia" w:eastAsiaTheme="majorEastAsia" w:hAnsiTheme="majorEastAsia"/>
          <w:b/>
          <w:bCs/>
          <w:szCs w:val="21"/>
        </w:rPr>
        <w:t>0</w:t>
      </w:r>
      <w:r>
        <w:rPr>
          <w:rFonts w:asciiTheme="majorEastAsia" w:eastAsiaTheme="majorEastAsia" w:hAnsiTheme="majorEastAsia" w:hint="eastAsia"/>
          <w:b/>
          <w:bCs/>
          <w:szCs w:val="21"/>
        </w:rPr>
        <w:t>．标前会议</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w:t>
      </w:r>
      <w:r>
        <w:rPr>
          <w:rFonts w:asciiTheme="majorEastAsia" w:eastAsiaTheme="majorEastAsia" w:hAnsiTheme="majorEastAsia"/>
          <w:szCs w:val="21"/>
        </w:rPr>
        <w:t>0</w:t>
      </w:r>
      <w:r>
        <w:rPr>
          <w:rFonts w:asciiTheme="majorEastAsia" w:eastAsiaTheme="majorEastAsia" w:hAnsiTheme="majorEastAsia" w:hint="eastAsia"/>
          <w:szCs w:val="21"/>
        </w:rPr>
        <w:t>.</w:t>
      </w:r>
      <w:r>
        <w:rPr>
          <w:rFonts w:asciiTheme="majorEastAsia" w:eastAsiaTheme="majorEastAsia" w:hAnsiTheme="majorEastAsia"/>
          <w:szCs w:val="21"/>
        </w:rPr>
        <w:t>1</w:t>
      </w:r>
      <w:r>
        <w:rPr>
          <w:rFonts w:asciiTheme="majorEastAsia" w:eastAsiaTheme="majorEastAsia" w:hAnsiTheme="majorEastAsia" w:hint="eastAsia"/>
          <w:szCs w:val="21"/>
        </w:rPr>
        <w:t>如采购人或采购代理机构认为有必要组织标前会议，投标人应按照招标文件规定的时间或采购代理机构另行书面通知（包括采购代理机构网站发布方式，如更正公告等）的时间和地点，参与标前会议。</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10</w:t>
      </w:r>
      <w:r>
        <w:rPr>
          <w:rFonts w:asciiTheme="majorEastAsia" w:eastAsiaTheme="majorEastAsia" w:hAnsiTheme="majorEastAsia" w:hint="eastAsia"/>
          <w:szCs w:val="21"/>
        </w:rPr>
        <w:t>.</w:t>
      </w:r>
      <w:r>
        <w:rPr>
          <w:rFonts w:asciiTheme="majorEastAsia" w:eastAsiaTheme="majorEastAsia" w:hAnsiTheme="majorEastAsia"/>
          <w:szCs w:val="21"/>
        </w:rPr>
        <w:t>2</w:t>
      </w:r>
      <w:r>
        <w:rPr>
          <w:rFonts w:asciiTheme="majorEastAsia" w:eastAsiaTheme="majorEastAsia" w:hAnsiTheme="majorEastAsia" w:hint="eastAsia"/>
          <w:szCs w:val="21"/>
        </w:rPr>
        <w:t>任何人或任何组织在标前会议时向投标人提供的任何书面资料或口头承诺，未经采购代理机构在网上发布或书面通知，均作无效处理。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w:t>
      </w:r>
      <w:r>
        <w:rPr>
          <w:rFonts w:asciiTheme="majorEastAsia" w:eastAsiaTheme="majorEastAsia" w:hAnsiTheme="majorEastAsia"/>
          <w:szCs w:val="21"/>
        </w:rPr>
        <w:t>0</w:t>
      </w:r>
      <w:r>
        <w:rPr>
          <w:rFonts w:asciiTheme="majorEastAsia" w:eastAsiaTheme="majorEastAsia" w:hAnsiTheme="majorEastAsia" w:hint="eastAsia"/>
          <w:szCs w:val="21"/>
        </w:rPr>
        <w:t>.</w:t>
      </w:r>
      <w:r>
        <w:rPr>
          <w:rFonts w:asciiTheme="majorEastAsia" w:eastAsiaTheme="majorEastAsia" w:hAnsiTheme="majorEastAsia"/>
          <w:szCs w:val="21"/>
        </w:rPr>
        <w:t>3</w:t>
      </w:r>
      <w:r>
        <w:rPr>
          <w:rFonts w:asciiTheme="majorEastAsia" w:eastAsiaTheme="majorEastAsia" w:hAnsiTheme="majorEastAsia" w:hint="eastAsia"/>
          <w:szCs w:val="21"/>
        </w:rPr>
        <w:t>未参与标前会议不作为否定投标人资格的理由。</w:t>
      </w:r>
    </w:p>
    <w:p>
      <w:pPr>
        <w:keepNext/>
        <w:keepLines/>
        <w:widowControl/>
        <w:numPr>
          <w:ilvl w:val="0"/>
          <w:numId w:val="2"/>
        </w:numPr>
        <w:adjustRightInd w:val="0"/>
        <w:spacing w:before="156" w:beforeLines="50" w:after="156" w:afterLines="50" w:line="360" w:lineRule="auto"/>
        <w:ind w:left="562" w:hanging="562"/>
        <w:jc w:val="center"/>
        <w:textAlignment w:val="baseline"/>
        <w:outlineLvl w:val="1"/>
        <w:rPr>
          <w:rFonts w:asciiTheme="majorEastAsia" w:eastAsiaTheme="majorEastAsia" w:hAnsiTheme="majorEastAsia"/>
          <w:b/>
          <w:bCs/>
          <w:kern w:val="0"/>
          <w:sz w:val="28"/>
          <w:szCs w:val="28"/>
        </w:rPr>
      </w:pPr>
      <w:bookmarkEnd w:id="29"/>
      <w:r>
        <w:rPr>
          <w:rFonts w:asciiTheme="majorEastAsia" w:eastAsiaTheme="majorEastAsia" w:hAnsiTheme="majorEastAsia" w:hint="eastAsia"/>
          <w:b/>
          <w:bCs/>
          <w:kern w:val="0"/>
          <w:sz w:val="28"/>
          <w:szCs w:val="28"/>
        </w:rPr>
        <w:t>招标文件</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1</w:t>
      </w:r>
      <w:r>
        <w:rPr>
          <w:rFonts w:asciiTheme="majorEastAsia" w:eastAsiaTheme="majorEastAsia" w:hAnsiTheme="majorEastAsia"/>
          <w:b/>
          <w:bCs/>
          <w:szCs w:val="21"/>
        </w:rPr>
        <w:t>1</w:t>
      </w:r>
      <w:r>
        <w:rPr>
          <w:rFonts w:asciiTheme="majorEastAsia" w:eastAsiaTheme="majorEastAsia" w:hAnsiTheme="majorEastAsia" w:hint="eastAsia"/>
          <w:b/>
          <w:bCs/>
          <w:szCs w:val="21"/>
        </w:rPr>
        <w:t>．</w:t>
      </w:r>
      <w:bookmarkStart w:id="31" w:name="_Hlk72399819"/>
      <w:r>
        <w:rPr>
          <w:rFonts w:asciiTheme="majorEastAsia" w:eastAsiaTheme="majorEastAsia" w:hAnsiTheme="majorEastAsia" w:hint="eastAsia"/>
          <w:b/>
          <w:bCs/>
          <w:szCs w:val="21"/>
        </w:rPr>
        <w:t>招标文件的编制与组成</w:t>
      </w:r>
    </w:p>
    <w:p>
      <w:pPr>
        <w:snapToGrid w:val="0"/>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1</w:t>
      </w:r>
      <w:r>
        <w:rPr>
          <w:rFonts w:asciiTheme="majorEastAsia" w:eastAsiaTheme="majorEastAsia" w:hAnsiTheme="majorEastAsia"/>
          <w:szCs w:val="21"/>
        </w:rPr>
        <w:t>1</w:t>
      </w:r>
      <w:r>
        <w:rPr>
          <w:rFonts w:asciiTheme="majorEastAsia" w:eastAsiaTheme="majorEastAsia" w:hAnsiTheme="majorEastAsia" w:hint="eastAsia"/>
          <w:szCs w:val="21"/>
        </w:rPr>
        <w:t>.1招标文件除以下内容外，采购代理机构在招标期间发出的澄清或修改等相关公告或通知内容，均是招标文件的组成部分，对投标人起约束作用；</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招标文件包括下列内容：</w:t>
      </w:r>
    </w:p>
    <w:p>
      <w:pPr>
        <w:spacing w:line="360" w:lineRule="auto"/>
        <w:ind w:left="420" w:firstLine="412" w:leftChars="200" w:firstLineChars="196"/>
        <w:rPr>
          <w:rFonts w:asciiTheme="majorEastAsia" w:eastAsiaTheme="majorEastAsia" w:hAnsiTheme="majorEastAsia"/>
          <w:b/>
          <w:szCs w:val="21"/>
        </w:rPr>
      </w:pPr>
      <w:r>
        <w:rPr>
          <w:rFonts w:asciiTheme="majorEastAsia" w:eastAsiaTheme="majorEastAsia" w:hAnsiTheme="majorEastAsia" w:hint="eastAsia"/>
          <w:b/>
          <w:szCs w:val="21"/>
        </w:rPr>
        <w:t>第一册  专用条款</w:t>
      </w:r>
    </w:p>
    <w:p>
      <w:pPr>
        <w:spacing w:line="360" w:lineRule="auto"/>
        <w:ind w:left="1079" w:leftChars="514"/>
        <w:rPr>
          <w:rFonts w:asciiTheme="majorEastAsia" w:eastAsiaTheme="majorEastAsia" w:hAnsiTheme="majorEastAsia"/>
          <w:b/>
          <w:szCs w:val="21"/>
        </w:rPr>
      </w:pPr>
      <w:r>
        <w:rPr>
          <w:rFonts w:asciiTheme="majorEastAsia" w:eastAsiaTheme="majorEastAsia" w:hAnsiTheme="majorEastAsia" w:hint="eastAsia"/>
          <w:b/>
          <w:szCs w:val="21"/>
        </w:rPr>
        <w:t>关键信息</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第一章  招标公告</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第二章  对通用条款的补充内容及其他关键信息</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第三章  用户需求书</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第四章  投标文件格式及附件</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第五章  合同条款及格式</w:t>
      </w:r>
    </w:p>
    <w:p>
      <w:pPr>
        <w:spacing w:line="360" w:lineRule="auto"/>
        <w:ind w:left="420" w:firstLine="412" w:leftChars="200" w:firstLineChars="196"/>
        <w:outlineLvl w:val="0"/>
        <w:rPr>
          <w:rFonts w:asciiTheme="majorEastAsia" w:eastAsiaTheme="majorEastAsia" w:hAnsiTheme="majorEastAsia"/>
          <w:b/>
          <w:szCs w:val="21"/>
        </w:rPr>
      </w:pPr>
      <w:r>
        <w:rPr>
          <w:rFonts w:asciiTheme="majorEastAsia" w:eastAsiaTheme="majorEastAsia" w:hAnsiTheme="majorEastAsia" w:hint="eastAsia"/>
          <w:b/>
          <w:szCs w:val="21"/>
        </w:rPr>
        <w:t>第二册  通用条款</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第一章  总则</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第二章  招标文件</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第三章  投标文件的编制</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第四章  投标文件的递交</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第五章  开标</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第六章  评审要求</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第七章  评审程序及评审方法</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第八章  定标及公示</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第九章  公开招标失败的后续处理</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第十章  合同的授予与备案</w:t>
      </w:r>
    </w:p>
    <w:p>
      <w:pPr>
        <w:spacing w:line="360" w:lineRule="auto"/>
        <w:ind w:left="630" w:firstLine="412" w:leftChars="300" w:firstLineChars="196"/>
        <w:outlineLvl w:val="0"/>
        <w:rPr>
          <w:rFonts w:asciiTheme="majorEastAsia" w:eastAsiaTheme="majorEastAsia" w:hAnsiTheme="majorEastAsia"/>
          <w:szCs w:val="21"/>
        </w:rPr>
      </w:pPr>
      <w:r>
        <w:rPr>
          <w:rFonts w:asciiTheme="majorEastAsia" w:eastAsiaTheme="majorEastAsia" w:hAnsiTheme="majorEastAsia" w:hint="eastAsia"/>
          <w:szCs w:val="21"/>
        </w:rPr>
        <w:t>第十一章  质疑处理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w:t>
      </w:r>
      <w:r>
        <w:rPr>
          <w:rFonts w:asciiTheme="majorEastAsia" w:eastAsiaTheme="majorEastAsia" w:hAnsiTheme="majorEastAsia"/>
          <w:szCs w:val="21"/>
        </w:rPr>
        <w:t>1</w:t>
      </w:r>
      <w:r>
        <w:rPr>
          <w:rFonts w:asciiTheme="majorEastAsia" w:eastAsiaTheme="majorEastAsia" w:hAnsiTheme="majorEastAsia" w:hint="eastAsia"/>
          <w:szCs w:val="21"/>
        </w:rPr>
        <w:t>.2 投标人下载招标文件后，应仔细检查招标文件的所有内容，如有疑问应在答疑截止时间之前向采购代理机构提出，否则，由此引起的投标损失自负；投标人同时应认真审阅招标文件所有的事项、格式、条款和规范要求等，如果投标人的投标文件未按招标文件要求提交全部资料或者投标文件未对招标文件做出实质性响应，其风险由投标人自行承担。</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w:t>
      </w:r>
      <w:r>
        <w:rPr>
          <w:rFonts w:asciiTheme="majorEastAsia" w:eastAsiaTheme="majorEastAsia" w:hAnsiTheme="majorEastAsia"/>
          <w:szCs w:val="21"/>
        </w:rPr>
        <w:t>1</w:t>
      </w:r>
      <w:r>
        <w:rPr>
          <w:rFonts w:asciiTheme="majorEastAsia" w:eastAsiaTheme="majorEastAsia" w:hAnsiTheme="majorEastAsia" w:hint="eastAsia"/>
          <w:szCs w:val="21"/>
        </w:rPr>
        <w:t>.3任何人或任何组织向投标人提交的任何书面或口头资料，未经采购代理机构在网上发布或书面通知，均作无效处理，不得作为招标文件的组成部分。采购代理机构对投标人由此而做出的推论、理解和结论概不负责。</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1</w:t>
      </w:r>
      <w:r>
        <w:rPr>
          <w:rFonts w:asciiTheme="majorEastAsia" w:eastAsiaTheme="majorEastAsia" w:hAnsiTheme="majorEastAsia"/>
          <w:b/>
          <w:bCs/>
          <w:szCs w:val="21"/>
        </w:rPr>
        <w:t>2</w:t>
      </w:r>
      <w:r>
        <w:rPr>
          <w:rFonts w:asciiTheme="majorEastAsia" w:eastAsiaTheme="majorEastAsia" w:hAnsiTheme="majorEastAsia" w:hint="eastAsia"/>
          <w:b/>
          <w:bCs/>
          <w:szCs w:val="21"/>
        </w:rPr>
        <w:t>．招标文件的澄清</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w:t>
      </w:r>
      <w:r>
        <w:rPr>
          <w:rFonts w:asciiTheme="majorEastAsia" w:eastAsiaTheme="majorEastAsia" w:hAnsiTheme="majorEastAsia"/>
          <w:szCs w:val="21"/>
        </w:rPr>
        <w:t>2</w:t>
      </w:r>
      <w:r>
        <w:rPr>
          <w:rFonts w:asciiTheme="majorEastAsia" w:eastAsiaTheme="majorEastAsia" w:hAnsiTheme="majorEastAsia" w:hint="eastAsia"/>
          <w:szCs w:val="21"/>
        </w:rPr>
        <w:t>.1招标文件澄清的目的是澄清、解答投标人在查阅招标文件后或现场踏勘中可能提出的与投标有关的疑问或询问。</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w:t>
      </w:r>
      <w:r>
        <w:rPr>
          <w:rFonts w:asciiTheme="majorEastAsia" w:eastAsiaTheme="majorEastAsia" w:hAnsiTheme="majorEastAsia"/>
          <w:szCs w:val="21"/>
        </w:rPr>
        <w:t>2</w:t>
      </w:r>
      <w:r>
        <w:rPr>
          <w:rFonts w:asciiTheme="majorEastAsia" w:eastAsiaTheme="majorEastAsia" w:hAnsiTheme="majorEastAsia" w:hint="eastAsia"/>
          <w:szCs w:val="21"/>
        </w:rPr>
        <w:t>.2投标人如对招标文件内容有疑问，应当在招标公告规定的澄清（提问）截止时间前以网上提问的形式通过网上政府采购系统提交采购代理机构。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w:t>
      </w:r>
      <w:r>
        <w:rPr>
          <w:rFonts w:asciiTheme="majorEastAsia" w:eastAsiaTheme="majorEastAsia" w:hAnsiTheme="majorEastAsia"/>
          <w:szCs w:val="21"/>
        </w:rPr>
        <w:t>2</w:t>
      </w:r>
      <w:r>
        <w:rPr>
          <w:rFonts w:asciiTheme="majorEastAsia" w:eastAsiaTheme="majorEastAsia" w:hAnsiTheme="majorEastAsia" w:hint="eastAsia"/>
          <w:szCs w:val="21"/>
        </w:rPr>
        <w:t>.3不论是采购代理机构根据需要主动对招标文件进行必要的澄清或是根据投标人的要求对招标文件做出澄清，采购代理机构都将在投标截止日期前以书面形式（包括采购代理机构网站发布方式）答复或发送给所有投标人。答复内容是招标文件的组成部分，对投标人起约束作用，其有效性按照本通用条款第1</w:t>
      </w:r>
      <w:r>
        <w:rPr>
          <w:rFonts w:asciiTheme="majorEastAsia" w:eastAsiaTheme="majorEastAsia" w:hAnsiTheme="majorEastAsia"/>
          <w:szCs w:val="21"/>
        </w:rPr>
        <w:t>3.3</w:t>
      </w:r>
      <w:r>
        <w:rPr>
          <w:rFonts w:asciiTheme="majorEastAsia" w:eastAsiaTheme="majorEastAsia" w:hAnsiTheme="majorEastAsia" w:hint="eastAsia"/>
          <w:szCs w:val="21"/>
        </w:rPr>
        <w:t>、1</w:t>
      </w:r>
      <w:r>
        <w:rPr>
          <w:rFonts w:asciiTheme="majorEastAsia" w:eastAsiaTheme="majorEastAsia" w:hAnsiTheme="majorEastAsia"/>
          <w:szCs w:val="21"/>
        </w:rPr>
        <w:t>3.4</w:t>
      </w:r>
      <w:r>
        <w:rPr>
          <w:rFonts w:asciiTheme="majorEastAsia" w:eastAsiaTheme="majorEastAsia" w:hAnsiTheme="majorEastAsia" w:hint="eastAsia"/>
          <w:szCs w:val="21"/>
        </w:rPr>
        <w:t>款规定执行。</w:t>
      </w:r>
    </w:p>
    <w:p>
      <w:pPr>
        <w:spacing w:line="360" w:lineRule="auto"/>
        <w:rPr>
          <w:rFonts w:asciiTheme="majorEastAsia" w:eastAsiaTheme="majorEastAsia" w:hAnsiTheme="majorEastAsia"/>
          <w:b/>
          <w:bCs/>
          <w:szCs w:val="21"/>
        </w:rPr>
      </w:pPr>
      <w:r>
        <w:rPr>
          <w:rFonts w:asciiTheme="majorEastAsia" w:eastAsiaTheme="majorEastAsia" w:hAnsiTheme="majorEastAsia"/>
          <w:b/>
          <w:bCs/>
          <w:szCs w:val="21"/>
        </w:rPr>
        <w:t>1</w:t>
      </w:r>
      <w:r>
        <w:rPr>
          <w:rFonts w:asciiTheme="majorEastAsia" w:eastAsiaTheme="majorEastAsia" w:hAnsiTheme="majorEastAsia" w:hint="eastAsia"/>
          <w:b/>
          <w:bCs/>
          <w:szCs w:val="21"/>
        </w:rPr>
        <w:t>3．招标文件的修改</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1</w:t>
      </w:r>
      <w:r>
        <w:rPr>
          <w:rFonts w:asciiTheme="majorEastAsia" w:eastAsiaTheme="majorEastAsia" w:hAnsiTheme="majorEastAsia" w:hint="eastAsia"/>
          <w:szCs w:val="21"/>
        </w:rPr>
        <w:t>3.1招标文件发出后，在投标截止日期前任何时候，确需要变更招标文件内容的，采购代理机构可主动或在解答投标人提出的澄清问题时对招标文件进行修改。</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1</w:t>
      </w:r>
      <w:r>
        <w:rPr>
          <w:rFonts w:asciiTheme="majorEastAsia" w:eastAsiaTheme="majorEastAsia" w:hAnsiTheme="majorEastAsia" w:hint="eastAsia"/>
          <w:szCs w:val="21"/>
        </w:rPr>
        <w:t>3.2招标文件的修改以书面形式（包括采购代理机构网站发布方式，如更正公告等）发送给所有投标人，招标文件的修改内容作为招标文件的组成部分，并具有约束力。</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1</w:t>
      </w:r>
      <w:r>
        <w:rPr>
          <w:rFonts w:asciiTheme="majorEastAsia" w:eastAsiaTheme="majorEastAsia" w:hAnsiTheme="majorEastAsia" w:hint="eastAsia"/>
          <w:szCs w:val="21"/>
        </w:rPr>
        <w:t>3.3招标文件、招标文件澄清答复内容、招标文件修改补充内容均以书面形式（包括采购代理机构网站公开发布方式，如更正公告等）明确的内容为准。当招标文件、修改补充通知、招标文件澄清答复内容相互矛盾时，以最后发出的内容为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1</w:t>
      </w:r>
      <w:r>
        <w:rPr>
          <w:rFonts w:asciiTheme="majorEastAsia" w:eastAsiaTheme="majorEastAsia" w:hAnsiTheme="majorEastAsia" w:hint="eastAsia"/>
          <w:szCs w:val="21"/>
        </w:rPr>
        <w:t>3.4采购代理机构保证招标文件澄清答复内容和招标文件修改补充内容在投标截止时间前以书面形式（包括采购代理机构网站发布方式，如更正公告等）发送给所有投标人。为使投标人在编制投标文件时有充分时间对招标文件的修改部分进行研究，采购代理机构可以酌情延长递交投标文件的截止日期。</w:t>
      </w:r>
      <w:bookmarkEnd w:id="31"/>
    </w:p>
    <w:p>
      <w:pPr>
        <w:keepNext/>
        <w:keepLines/>
        <w:widowControl/>
        <w:numPr>
          <w:ilvl w:val="0"/>
          <w:numId w:val="2"/>
        </w:numPr>
        <w:adjustRightInd w:val="0"/>
        <w:spacing w:before="156" w:beforeLines="50" w:after="156" w:afterLines="50" w:line="360" w:lineRule="auto"/>
        <w:ind w:left="562" w:hanging="562"/>
        <w:jc w:val="center"/>
        <w:textAlignment w:val="baseline"/>
        <w:outlineLvl w:val="1"/>
        <w:rPr>
          <w:rFonts w:asciiTheme="majorEastAsia" w:eastAsiaTheme="majorEastAsia" w:hAnsiTheme="majorEastAsia"/>
          <w:b/>
          <w:bCs/>
          <w:kern w:val="0"/>
          <w:sz w:val="28"/>
          <w:szCs w:val="28"/>
        </w:rPr>
      </w:pPr>
      <w:r>
        <w:rPr>
          <w:rFonts w:asciiTheme="majorEastAsia" w:eastAsiaTheme="majorEastAsia" w:hAnsiTheme="majorEastAsia" w:hint="eastAsia"/>
          <w:b/>
          <w:bCs/>
          <w:kern w:val="0"/>
          <w:sz w:val="28"/>
          <w:szCs w:val="28"/>
        </w:rPr>
        <w:t>投标文件的编制</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14．</w:t>
      </w:r>
      <w:bookmarkStart w:id="32" w:name="_Hlk72400236"/>
      <w:r>
        <w:rPr>
          <w:rFonts w:asciiTheme="majorEastAsia" w:eastAsiaTheme="majorEastAsia" w:hAnsiTheme="majorEastAsia" w:hint="eastAsia"/>
          <w:b/>
          <w:bCs/>
          <w:szCs w:val="21"/>
        </w:rPr>
        <w:t>投标文件的语言及度量单位</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14.1 投标人与采购代理机构之间与投标有关的所有往来通知、函件和投标文件均用中文表述。投标人随投标文件提供的证明文件和资料可以为其它语言，但必须附中文译文。翻译的中文资料与外文资料如果出现差异时，以中文为准，但翻译错误的除外。</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14.2 除技术规范另有规定外，投标文件使用的度量单位，均采用中华人民共和国法定计量单位。</w:t>
      </w:r>
    </w:p>
    <w:p>
      <w:pPr>
        <w:spacing w:line="360" w:lineRule="auto"/>
        <w:rPr>
          <w:rFonts w:asciiTheme="majorEastAsia" w:eastAsiaTheme="majorEastAsia" w:hAnsiTheme="majorEastAsia"/>
          <w:b/>
          <w:bCs/>
          <w:szCs w:val="21"/>
        </w:rPr>
      </w:pPr>
      <w:bookmarkEnd w:id="32"/>
      <w:r>
        <w:rPr>
          <w:rFonts w:asciiTheme="majorEastAsia" w:eastAsiaTheme="majorEastAsia" w:hAnsiTheme="majorEastAsia" w:hint="eastAsia"/>
          <w:b/>
          <w:bCs/>
          <w:szCs w:val="21"/>
        </w:rPr>
        <w:t>15．</w:t>
      </w:r>
      <w:bookmarkStart w:id="33" w:name="_Hlk72401567"/>
      <w:r>
        <w:rPr>
          <w:rFonts w:asciiTheme="majorEastAsia" w:eastAsiaTheme="majorEastAsia" w:hAnsiTheme="majorEastAsia" w:hint="eastAsia"/>
          <w:b/>
          <w:bCs/>
          <w:szCs w:val="21"/>
        </w:rPr>
        <w:t>投标文件的组成</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具体内容在招标文件专用条款中进行规定。</w:t>
      </w:r>
    </w:p>
    <w:p>
      <w:pPr>
        <w:spacing w:line="360" w:lineRule="auto"/>
        <w:rPr>
          <w:rFonts w:asciiTheme="majorEastAsia" w:eastAsiaTheme="majorEastAsia" w:hAnsiTheme="majorEastAsia"/>
          <w:b/>
          <w:bCs/>
          <w:szCs w:val="21"/>
        </w:rPr>
      </w:pPr>
      <w:r>
        <w:rPr>
          <w:rFonts w:asciiTheme="majorEastAsia" w:eastAsiaTheme="majorEastAsia" w:hAnsiTheme="majorEastAsia"/>
          <w:b/>
          <w:bCs/>
          <w:szCs w:val="21"/>
        </w:rPr>
        <w:t>16．投标文件格式</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投标文件包括本通用条款第</w:t>
      </w:r>
      <w:r>
        <w:rPr>
          <w:rFonts w:asciiTheme="majorEastAsia" w:eastAsiaTheme="majorEastAsia" w:hAnsiTheme="majorEastAsia"/>
          <w:szCs w:val="21"/>
        </w:rPr>
        <w:t>15条中规定的内容。如招标文件提供了投标文件格式，则</w:t>
      </w:r>
      <w:r>
        <w:rPr>
          <w:rFonts w:asciiTheme="majorEastAsia" w:eastAsiaTheme="majorEastAsia" w:hAnsiTheme="majorEastAsia" w:hint="eastAsia"/>
          <w:b/>
          <w:bCs/>
          <w:szCs w:val="21"/>
        </w:rPr>
        <w:t>投标人提交的投标文件应使用招标文件所提供的相应格式</w:t>
      </w:r>
      <w:r>
        <w:rPr>
          <w:rFonts w:asciiTheme="majorEastAsia" w:eastAsiaTheme="majorEastAsia" w:hAnsiTheme="majorEastAsia" w:hint="eastAsia"/>
          <w:szCs w:val="21"/>
        </w:rPr>
        <w:t>（表格均可按同样格式扩展）。</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17．投标货币</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本项目的投标报价应以人民币计。</w:t>
      </w:r>
    </w:p>
    <w:p>
      <w:pPr>
        <w:spacing w:line="360" w:lineRule="auto"/>
        <w:rPr>
          <w:rFonts w:asciiTheme="majorEastAsia" w:eastAsiaTheme="majorEastAsia" w:hAnsiTheme="majorEastAsia"/>
          <w:b/>
          <w:bCs/>
          <w:szCs w:val="21"/>
        </w:rPr>
      </w:pPr>
      <w:bookmarkEnd w:id="33"/>
      <w:r>
        <w:rPr>
          <w:rFonts w:asciiTheme="majorEastAsia" w:eastAsiaTheme="majorEastAsia" w:hAnsiTheme="majorEastAsia" w:hint="eastAsia"/>
          <w:b/>
          <w:bCs/>
          <w:szCs w:val="21"/>
        </w:rPr>
        <w:t>18．</w:t>
      </w:r>
      <w:bookmarkStart w:id="34" w:name="_Hlk72401735"/>
      <w:r>
        <w:rPr>
          <w:rFonts w:asciiTheme="majorEastAsia" w:eastAsiaTheme="majorEastAsia" w:hAnsiTheme="majorEastAsia" w:hint="eastAsia"/>
          <w:b/>
          <w:bCs/>
          <w:szCs w:val="21"/>
        </w:rPr>
        <w:t>证明投标文件投标技术方案的合格性和符合招标文件规定的文件要求</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18</w:t>
      </w:r>
      <w:r>
        <w:rPr>
          <w:rFonts w:asciiTheme="majorEastAsia" w:eastAsiaTheme="majorEastAsia" w:hAnsiTheme="majorEastAsia"/>
          <w:szCs w:val="21"/>
        </w:rPr>
        <w:t xml:space="preserve">.1 </w:t>
      </w:r>
      <w:r>
        <w:rPr>
          <w:rFonts w:asciiTheme="majorEastAsia" w:eastAsiaTheme="majorEastAsia" w:hAnsiTheme="majorEastAsia" w:hint="eastAsia"/>
          <w:szCs w:val="21"/>
        </w:rPr>
        <w:t>投标人应提交证明文件，证明其投标技术方案项下的货物和服务的合格性符合招标文件规定。该投标技术方案及其证明文件均作为投标文件组成部分。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1</w:t>
      </w:r>
      <w:r>
        <w:rPr>
          <w:rFonts w:asciiTheme="majorEastAsia" w:eastAsiaTheme="majorEastAsia" w:hAnsiTheme="majorEastAsia" w:hint="eastAsia"/>
          <w:szCs w:val="21"/>
        </w:rPr>
        <w:t>8</w:t>
      </w:r>
      <w:r>
        <w:rPr>
          <w:rFonts w:asciiTheme="majorEastAsia" w:eastAsiaTheme="majorEastAsia" w:hAnsiTheme="majorEastAsia"/>
          <w:szCs w:val="21"/>
        </w:rPr>
        <w:t xml:space="preserve">.2 </w:t>
      </w:r>
      <w:r>
        <w:rPr>
          <w:rFonts w:asciiTheme="majorEastAsia" w:eastAsiaTheme="majorEastAsia" w:hAnsiTheme="majorEastAsia" w:hint="eastAsia"/>
          <w:szCs w:val="21"/>
        </w:rPr>
        <w:t>投标人提供证明投标技术方案与招标文件的要求相一致的文件，可以是文字资料、图纸、数据或数码照片、制造商公布的产品说明书、产品彩页和我国政府机构出具的产品检验和核准证件等，提供的文件应符合以下要求：</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18.2.1主要技术指标和性能的详细说明。</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18.2.</w:t>
      </w:r>
      <w:r>
        <w:rPr>
          <w:rFonts w:asciiTheme="majorEastAsia" w:eastAsiaTheme="majorEastAsia" w:hAnsiTheme="majorEastAsia"/>
          <w:szCs w:val="21"/>
        </w:rPr>
        <w:t>2</w:t>
      </w:r>
      <w:r>
        <w:rPr>
          <w:rFonts w:asciiTheme="majorEastAsia" w:eastAsiaTheme="majorEastAsia" w:hAnsiTheme="majorEastAsia" w:hint="eastAsia"/>
          <w:szCs w:val="21"/>
        </w:rPr>
        <w:t>投标产品从采购人开始使用至招标文件中规定的周期内正常、连续地使用所必须的备件和专用工具清单，包括备件和专用工具的货源及现行价格。</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18.2.</w:t>
      </w:r>
      <w:r>
        <w:rPr>
          <w:rFonts w:asciiTheme="majorEastAsia" w:eastAsiaTheme="majorEastAsia" w:hAnsiTheme="majorEastAsia"/>
          <w:szCs w:val="21"/>
        </w:rPr>
        <w:t>3</w:t>
      </w:r>
      <w:r>
        <w:rPr>
          <w:rFonts w:asciiTheme="majorEastAsia" w:eastAsiaTheme="majorEastAsia" w:hAnsiTheme="majorEastAsia" w:hint="eastAsia"/>
          <w:szCs w:val="21"/>
        </w:rPr>
        <w:t>对照招标文件技术规格，逐条说明投标技术方案已对采购人的技术规格做出了实质性的响应，或申明与技术规格条文的偏差和例外。投标人应详细说明投标技术方案中产品的具体参数，不得不合理照搬照抄招标文件的技术要求。</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18.2.4产品说明书或彩页应为制造商公布或出具的中文产品说明书或彩页；提供外文说明书或彩页的，必须同时提供加盖制造商公章的对应中文翻译说明，评标依据以中文翻译内容为准，外文说明书或彩页仅供参考；产品说明书或彩页的尺寸和清晰度要求能够使用电脑阅读、识别和判断；</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18.2.5我国政府机构出具的产品检验和核准证件应为证件正面、背面和附件标注的全部具体内容；产品检验和核准证件的尺寸和清晰度应该能够在电脑上被阅读、识别和判断，提供原件扫描件。</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18.3相关资料不符合18.2款要求的，评审委员会有权认定为投标技术方案不合格响应，其相关分数予以扣减或作投标无效处理。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1</w:t>
      </w:r>
      <w:r>
        <w:rPr>
          <w:rFonts w:asciiTheme="majorEastAsia" w:eastAsiaTheme="majorEastAsia" w:hAnsiTheme="majorEastAsia" w:hint="eastAsia"/>
          <w:szCs w:val="21"/>
        </w:rPr>
        <w:t>8</w:t>
      </w:r>
      <w:r>
        <w:rPr>
          <w:rFonts w:asciiTheme="majorEastAsia" w:eastAsiaTheme="majorEastAsia" w:hAnsiTheme="majorEastAsia"/>
          <w:szCs w:val="21"/>
        </w:rPr>
        <w:t>.</w:t>
      </w:r>
      <w:r>
        <w:rPr>
          <w:rFonts w:asciiTheme="majorEastAsia" w:eastAsiaTheme="majorEastAsia" w:hAnsiTheme="majorEastAsia" w:hint="eastAsia"/>
          <w:szCs w:val="21"/>
        </w:rPr>
        <w:t>4投标人在阐述上述第18.2时应注意采购人在技术规格中指出的工艺、材料和设备的标准以及参照的牌号或分类号仅起说明作用，并没有任何限制性。投标人在投标中可以选用替代标准、牌号或分类号，但这些替代要实质上满足招标文件中技术规格的要求，是否满足要求，由评审委员会来评判。</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18.5除非另有规定或说明，投标人对同一项目投标时，不得同时提供两套或两套以上的投标方案。</w:t>
      </w:r>
    </w:p>
    <w:p>
      <w:pPr>
        <w:spacing w:line="360" w:lineRule="auto"/>
        <w:rPr>
          <w:rFonts w:asciiTheme="majorEastAsia" w:eastAsiaTheme="majorEastAsia" w:hAnsiTheme="majorEastAsia"/>
          <w:b/>
          <w:bCs/>
          <w:szCs w:val="21"/>
        </w:rPr>
      </w:pPr>
      <w:bookmarkEnd w:id="34"/>
      <w:r>
        <w:rPr>
          <w:rFonts w:asciiTheme="majorEastAsia" w:eastAsiaTheme="majorEastAsia" w:hAnsiTheme="majorEastAsia" w:hint="eastAsia"/>
          <w:b/>
          <w:bCs/>
          <w:szCs w:val="21"/>
        </w:rPr>
        <w:t>19．</w:t>
      </w:r>
      <w:bookmarkStart w:id="35" w:name="_Hlk72402034"/>
      <w:r>
        <w:rPr>
          <w:rFonts w:asciiTheme="majorEastAsia" w:eastAsiaTheme="majorEastAsia" w:hAnsiTheme="majorEastAsia" w:hint="eastAsia"/>
          <w:b/>
          <w:bCs/>
          <w:szCs w:val="21"/>
        </w:rPr>
        <w:t>投标文件其他证明文件的要求</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19.1采用综合评分法的项目，对项目招标文件《评标信息》评分项中涉及的相关业绩、社保情况等内容以及《资格性审查表》和《符合性审查表》中涉及的证明材料，投标人应提供相关部门出具的证明材料扫描件或照片，原件备查。有关扫描件（或照片）的尺寸和清晰度要求能够使用电脑阅读、识别和判断。若投标人未按要求提供证明材料或提供的是部分证明材料或提供不清晰的扫描件（或照片）的，评审委员会有权认定其投标文件未对招标文件有关需求进行响应，涉及资格性检查或符合性检查的予以投标无效处理，涉及《评标信息》打分项的则该项评分予以0分处理。评审委员会对供应商投标资料是否异常、是否有效问题进行核查和判定，如认为供应商投标资料有异常或无效的，若涉及资格性审查或符合性审查条款的，则应作投标无效处理；若涉及评分的，则作不得分处理。</w:t>
      </w:r>
      <w:bookmarkStart w:id="36" w:name="_Hlk71407299"/>
    </w:p>
    <w:p>
      <w:pPr>
        <w:spacing w:line="360" w:lineRule="auto"/>
        <w:ind w:firstLine="412" w:firstLineChars="196"/>
        <w:rPr>
          <w:rFonts w:asciiTheme="majorEastAsia" w:eastAsiaTheme="majorEastAsia" w:hAnsiTheme="majorEastAsia"/>
          <w:szCs w:val="21"/>
        </w:rPr>
      </w:pPr>
      <w:bookmarkEnd w:id="36"/>
      <w:r>
        <w:rPr>
          <w:rFonts w:asciiTheme="majorEastAsia" w:eastAsiaTheme="majorEastAsia" w:hAnsiTheme="majorEastAsia" w:hint="eastAsia"/>
          <w:szCs w:val="21"/>
        </w:rPr>
        <w:t>19.2本项目涉及提供的有关资质（资格）证书，若原有资质（资格）证书处于年审期间，须提供证书颁发部门提供的回执，并且回执须证明该证书依然有效（若在法规范围不需提供的，供应商应做书面说明并提供证明文件，否则该证书无效），则该投标人提供年审证明的可按原资质（资格）投标；若投标人正在申报上一级别资质（资格），在未获批准之前，仍按原级别资质（资格）投标。</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20．投标有效期</w:t>
      </w:r>
    </w:p>
    <w:p>
      <w:pPr>
        <w:spacing w:line="360" w:lineRule="auto"/>
        <w:ind w:firstLine="412" w:firstLineChars="196"/>
        <w:rPr>
          <w:rFonts w:asciiTheme="majorEastAsia" w:eastAsiaTheme="majorEastAsia" w:hAnsiTheme="majorEastAsia"/>
          <w:szCs w:val="21"/>
        </w:rPr>
      </w:pPr>
      <w:bookmarkEnd w:id="35"/>
      <w:bookmarkStart w:id="37" w:name="_Hlk72402214"/>
      <w:r>
        <w:rPr>
          <w:rFonts w:asciiTheme="majorEastAsia" w:eastAsiaTheme="majorEastAsia" w:hAnsiTheme="majorEastAsia" w:hint="eastAsia"/>
          <w:szCs w:val="21"/>
        </w:rPr>
        <w:t>20.1 投标有效期为</w:t>
      </w:r>
      <w:r>
        <w:rPr>
          <w:rFonts w:asciiTheme="majorEastAsia" w:eastAsiaTheme="majorEastAsia" w:hAnsiTheme="majorEastAsia" w:cs="Arial" w:hint="eastAsia"/>
          <w:szCs w:val="21"/>
        </w:rPr>
        <w:t>从投标截止之日算起的日历天数。</w:t>
      </w:r>
      <w:r>
        <w:rPr>
          <w:rFonts w:asciiTheme="majorEastAsia" w:eastAsiaTheme="majorEastAsia" w:hAnsiTheme="majorEastAsia" w:hint="eastAsia"/>
          <w:szCs w:val="21"/>
        </w:rPr>
        <w:t>在此期限内，所有投标文件均保持有效。</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20.2 在特殊情况下，采购代理机构在原定的投标有效期满之前，可以根据需要以书面形式（包括采购代理机构网站公开发布方式）向投标人提出延长投标有效期的要求，对此要求投标人须以书面形式予以答复，投标人可以拒绝采购代理机构此项要求，其投标在原投标有效期满后不再有效。同意延长投标有效期的投标人不能要求也不允许修改其投标文件。</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20</w:t>
      </w:r>
      <w:r>
        <w:rPr>
          <w:rFonts w:asciiTheme="majorEastAsia" w:eastAsiaTheme="majorEastAsia" w:hAnsiTheme="majorEastAsia"/>
          <w:szCs w:val="21"/>
        </w:rPr>
        <w:t>.3</w:t>
      </w:r>
      <w:r>
        <w:rPr>
          <w:rFonts w:asciiTheme="majorEastAsia" w:eastAsiaTheme="majorEastAsia" w:hAnsiTheme="majorEastAsia" w:hint="eastAsia"/>
          <w:szCs w:val="21"/>
        </w:rPr>
        <w:t xml:space="preserve"> 中标供应商的投标文件有效期，截止于完成本招标文件规定的全部项目内容，并通过竣工验收及保修期结束。</w:t>
      </w:r>
    </w:p>
    <w:p>
      <w:pPr>
        <w:spacing w:line="360" w:lineRule="auto"/>
        <w:rPr>
          <w:rFonts w:asciiTheme="majorEastAsia" w:eastAsiaTheme="majorEastAsia" w:hAnsiTheme="majorEastAsia"/>
          <w:szCs w:val="21"/>
        </w:rPr>
      </w:pPr>
      <w:bookmarkEnd w:id="37"/>
      <w:r>
        <w:rPr>
          <w:rFonts w:asciiTheme="majorEastAsia" w:eastAsiaTheme="majorEastAsia" w:hAnsiTheme="majorEastAsia" w:hint="eastAsia"/>
          <w:szCs w:val="21"/>
        </w:rPr>
        <w:t>21．</w:t>
      </w:r>
      <w:bookmarkStart w:id="38" w:name="_Hlk72402325"/>
      <w:r>
        <w:rPr>
          <w:rFonts w:asciiTheme="majorEastAsia" w:eastAsiaTheme="majorEastAsia" w:hAnsiTheme="majorEastAsia" w:hint="eastAsia"/>
          <w:szCs w:val="21"/>
        </w:rPr>
        <w:t xml:space="preserve">关于投标保证金 </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 xml:space="preserve">    21.1 根据《</w:t>
      </w:r>
      <w:r>
        <w:rPr>
          <w:rFonts w:asciiTheme="majorEastAsia" w:eastAsiaTheme="majorEastAsia" w:hAnsiTheme="majorEastAsia"/>
          <w:szCs w:val="21"/>
        </w:rPr>
        <w:t>深圳市财政局关于明确政府采购保证金管理工作的通知</w:t>
      </w:r>
      <w:r>
        <w:rPr>
          <w:rFonts w:asciiTheme="majorEastAsia" w:eastAsiaTheme="majorEastAsia" w:hAnsiTheme="majorEastAsia" w:hint="eastAsia"/>
          <w:szCs w:val="21"/>
        </w:rPr>
        <w:t>》（深财购[</w:t>
      </w:r>
      <w:r>
        <w:rPr>
          <w:rFonts w:asciiTheme="majorEastAsia" w:eastAsiaTheme="majorEastAsia" w:hAnsiTheme="majorEastAsia"/>
          <w:szCs w:val="21"/>
        </w:rPr>
        <w:t>2019]42</w:t>
      </w:r>
      <w:r>
        <w:rPr>
          <w:rFonts w:asciiTheme="majorEastAsia" w:eastAsiaTheme="majorEastAsia" w:hAnsiTheme="majorEastAsia" w:hint="eastAsia"/>
          <w:szCs w:val="21"/>
        </w:rPr>
        <w:t>号）文的规定，本项目不收取投标保证金。</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22．投标人的替代方案</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22.1投标人所提交的投标文件应完全满足招标文件（包括图纸和技术规范所示的基本技术设计）的要求。除非项目明确允许投标人提交替代方案，否则投标人有关替代方案的条款将初审不通过，作投标无效处理。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22.2 如果允许投标人提交替代方案，则准备提交替代方案的投标人除应提交一份满足招标文件（包括图纸和技术规范所示的基本技术设计）要求的投标文件外，还应提交需评审其替代方案所需的全部资料，包括项目方案书、技术规范、替代方案报价书、所建议的项目方案及有关的其它详细资料。</w:t>
      </w:r>
    </w:p>
    <w:p>
      <w:pPr>
        <w:spacing w:line="360" w:lineRule="auto"/>
        <w:rPr>
          <w:rFonts w:asciiTheme="majorEastAsia" w:eastAsiaTheme="majorEastAsia" w:hAnsiTheme="majorEastAsia"/>
          <w:b/>
          <w:bCs/>
          <w:szCs w:val="21"/>
        </w:rPr>
      </w:pPr>
      <w:bookmarkEnd w:id="38"/>
      <w:r>
        <w:rPr>
          <w:rFonts w:asciiTheme="majorEastAsia" w:eastAsiaTheme="majorEastAsia" w:hAnsiTheme="majorEastAsia" w:hint="eastAsia"/>
          <w:b/>
          <w:bCs/>
          <w:szCs w:val="21"/>
        </w:rPr>
        <w:t>23．</w:t>
      </w:r>
      <w:bookmarkStart w:id="39" w:name="_Hlk72402860"/>
      <w:r>
        <w:rPr>
          <w:rFonts w:asciiTheme="majorEastAsia" w:eastAsiaTheme="majorEastAsia" w:hAnsiTheme="majorEastAsia"/>
          <w:b/>
          <w:bCs/>
          <w:szCs w:val="21"/>
        </w:rPr>
        <w:t>投标文件的</w:t>
      </w:r>
      <w:r>
        <w:rPr>
          <w:rFonts w:asciiTheme="majorEastAsia" w:eastAsiaTheme="majorEastAsia" w:hAnsiTheme="majorEastAsia" w:hint="eastAsia"/>
          <w:b/>
          <w:bCs/>
          <w:szCs w:val="21"/>
        </w:rPr>
        <w:t>制作</w:t>
      </w:r>
      <w:r>
        <w:rPr>
          <w:rFonts w:asciiTheme="majorEastAsia" w:eastAsiaTheme="majorEastAsia" w:hAnsiTheme="majorEastAsia"/>
          <w:b/>
          <w:bCs/>
          <w:szCs w:val="21"/>
        </w:rPr>
        <w:t>要求</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23.1投标人应准备所投项目的电子投标文件一份。此电子投标文件须由投标人根据采购代理机构提供的后缀名为.szczf的电子招标文件，下载并使用相应的深圳智慧采购平台投标文件制作专用软件打开招标文件（.szczf格式）【下载地址：</w:t>
      </w:r>
      <w:r>
        <w:rPr>
          <w:rFonts w:asciiTheme="majorEastAsia" w:eastAsiaTheme="majorEastAsia" w:hAnsiTheme="majorEastAsia"/>
          <w:szCs w:val="21"/>
        </w:rPr>
        <w:t>http://zfcg.szggzy.com/</w:t>
      </w:r>
      <w:r>
        <w:rPr>
          <w:rFonts w:asciiTheme="majorEastAsia" w:eastAsiaTheme="majorEastAsia" w:hAnsiTheme="majorEastAsia" w:hint="eastAsia"/>
          <w:szCs w:val="21"/>
        </w:rPr>
        <w:t>TPBidder/DownLoad/深圳市智慧采购平台投标文件制作专用软件.zip】。</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23.2投标人在使用《投标文件制作软件》编制投标书时须注意：</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23.2.1导入《投标文件制作软件》的招标文件项目编号、包号应与以此制作的投标文件项目编号、包号一致。例如，不能将甲项目A包的招标书导入《投标文件制作软件》，制作乙项目B包的投标书。</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23.2.2不能用非本公司的电子密钥加密本公司的投标文件，或者用其它公司的登录用户上传本公司的投标文件。</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23.2.3要求用《投标文件制作软件》编制投标书的包，不能用其它方式编制投标书。编制投标文件时，电脑须连通互联网。</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23.2.4投标文件不能带病毒。采购代理机构将用专业杀毒软件对投标文件进行病毒检测，如果这两种软件均报告发现病毒，则采购代理机构认为该投标文件带病毒。</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23.2.5完整填写“投标关键信息”，如下图所示：</w:t>
      </w:r>
    </w:p>
    <w:p>
      <w:pPr>
        <w:tabs>
          <w:tab w:val="left" w:pos="0"/>
        </w:tabs>
        <w:spacing w:line="360" w:lineRule="auto"/>
        <w:rPr>
          <w:rFonts w:asciiTheme="majorEastAsia" w:eastAsiaTheme="majorEastAsia" w:hAnsiTheme="majorEastAsia"/>
          <w:szCs w:val="21"/>
        </w:rPr>
      </w:pPr>
      <w:r>
        <w:rPr>
          <w:rFonts w:asciiTheme="majorEastAsia" w:eastAsiaTheme="majorEastAsia" w:hAnsiTheme="majorEastAsia"/>
          <w:szCs w:val="21"/>
        </w:rPr>
        <w:drawing>
          <wp:inline distT="0" distB="0" distL="0" distR="0">
            <wp:extent cx="5278755" cy="2721610"/>
            <wp:effectExtent l="0" t="0" r="0" b="2540"/>
            <wp:docPr id="8" name="图片 6"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图形用户界面, 应用程序&#10;&#10;描述已自动生成"/>
                    <pic:cNvPicPr>
                      <a:picLocks noChangeAspect="1" noChangeArrowheads="1"/>
                    </pic:cNvPicPr>
                  </pic:nvPicPr>
                  <pic:blipFill>
                    <a:blip xmlns:r="http://schemas.openxmlformats.org/officeDocument/2006/relationships" r:embed="rId12"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8755" cy="2721610"/>
                    </a:xfrm>
                    <a:prstGeom prst="rect">
                      <a:avLst/>
                    </a:prstGeom>
                    <a:noFill/>
                    <a:ln>
                      <a:noFill/>
                    </a:ln>
                  </pic:spPr>
                </pic:pic>
              </a:graphicData>
            </a:graphic>
          </wp:inline>
        </w:drawing>
      </w:r>
    </w:p>
    <w:p>
      <w:pPr>
        <w:spacing w:line="360" w:lineRule="auto"/>
        <w:ind w:firstLine="412" w:firstLineChars="196"/>
        <w:rPr>
          <w:rFonts w:asciiTheme="majorEastAsia" w:eastAsiaTheme="majorEastAsia" w:hAnsiTheme="majorEastAsia"/>
          <w:b/>
          <w:szCs w:val="21"/>
        </w:rPr>
      </w:pPr>
      <w:r>
        <w:rPr>
          <w:rFonts w:asciiTheme="majorEastAsia" w:eastAsiaTheme="majorEastAsia" w:hAnsiTheme="majorEastAsia" w:hint="eastAsia"/>
          <w:b/>
          <w:szCs w:val="21"/>
        </w:rPr>
        <w:t>备注：上述“开标一览表”中的“投标总价”将作为价格分计算依据；其它信息仅是对投标文件相关内容的概括性表述，不作为评审依据。</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23.2.6投标人在编辑投标文件时，</w:t>
      </w:r>
      <w:r>
        <w:rPr>
          <w:rFonts w:asciiTheme="majorEastAsia" w:eastAsiaTheme="majorEastAsia" w:hAnsiTheme="majorEastAsia" w:hint="eastAsia"/>
          <w:b/>
          <w:szCs w:val="21"/>
        </w:rPr>
        <w:t>在投标文件目录中属于本节点内容的必须在本节点中填写，填写到其他节点或附件，</w:t>
      </w:r>
      <w:r>
        <w:rPr>
          <w:rFonts w:asciiTheme="majorEastAsia" w:eastAsiaTheme="majorEastAsia" w:hAnsiTheme="majorEastAsia" w:hint="eastAsia"/>
          <w:szCs w:val="21"/>
        </w:rPr>
        <w:t>一切后果由供应商自行承担。</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23.2.7投标文件编写完成后，</w:t>
      </w:r>
      <w:r>
        <w:rPr>
          <w:rFonts w:asciiTheme="majorEastAsia" w:eastAsiaTheme="majorEastAsia" w:hAnsiTheme="majorEastAsia" w:hint="eastAsia"/>
          <w:b/>
          <w:szCs w:val="21"/>
        </w:rPr>
        <w:t>必须用属于投标人的电子密钥进行加密，否则视同未盖公章，将导致投标文件无效。</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23.2.8采购代理机构不接受投标截止时间后递交的纸质、电子、传真等所有形式的投标文件。由于对网上政府采购系统操作不熟悉或自身电脑、网络等原因导致不能在投标截止时间之前上传投标文件，采购代理机构概不负责。建议于开标前一个工作日完成投标文件的制作与上传，如上传确有困难，请及时咨询。</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23.2.9如果开标时出现网络故障、技术故障，影响了政府采购活动，采购代理机构有权采取措施如延期、接受无法从网上上传的投标书等，以保障政府采购活动的公开、公平和公正。</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23.3电报、电话、传真形式的投标概不接受。</w:t>
      </w:r>
    </w:p>
    <w:p>
      <w:pPr>
        <w:spacing w:line="360" w:lineRule="auto"/>
        <w:ind w:firstLine="412" w:firstLineChars="196"/>
        <w:rPr>
          <w:rFonts w:asciiTheme="majorEastAsia" w:eastAsiaTheme="majorEastAsia" w:hAnsiTheme="majorEastAsia"/>
          <w:b/>
          <w:szCs w:val="21"/>
        </w:rPr>
      </w:pPr>
      <w:r>
        <w:rPr>
          <w:rFonts w:asciiTheme="majorEastAsia" w:eastAsiaTheme="majorEastAsia" w:hAnsiTheme="majorEastAsia" w:hint="eastAsia"/>
          <w:b/>
          <w:szCs w:val="21"/>
        </w:rPr>
        <w:t>23.4经投标人电子密钥加密的投标文件无须盖章或签字，</w:t>
      </w:r>
      <w:r>
        <w:rPr>
          <w:rFonts w:asciiTheme="majorEastAsia" w:eastAsiaTheme="majorEastAsia" w:hAnsiTheme="majorEastAsia" w:hint="eastAsia"/>
          <w:szCs w:val="21"/>
        </w:rPr>
        <w:t>专用条款另有要求的除外。</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b/>
          <w:szCs w:val="21"/>
        </w:rPr>
        <w:t>23.5</w:t>
      </w:r>
      <w:r>
        <w:rPr>
          <w:rFonts w:asciiTheme="majorEastAsia" w:eastAsiaTheme="majorEastAsia" w:hAnsiTheme="majorEastAsia" w:hint="eastAsia"/>
          <w:szCs w:val="21"/>
        </w:rPr>
        <w:t xml:space="preserve"> 各类资格（资质）文件提供扫描件，专用条款另有要求的除外。</w:t>
      </w:r>
      <w:bookmarkEnd w:id="39"/>
    </w:p>
    <w:p>
      <w:pPr>
        <w:keepNext/>
        <w:keepLines/>
        <w:widowControl/>
        <w:numPr>
          <w:ilvl w:val="0"/>
          <w:numId w:val="2"/>
        </w:numPr>
        <w:adjustRightInd w:val="0"/>
        <w:spacing w:before="156" w:beforeLines="50" w:after="156" w:afterLines="50" w:line="360" w:lineRule="auto"/>
        <w:ind w:left="562" w:hanging="562"/>
        <w:jc w:val="center"/>
        <w:textAlignment w:val="baseline"/>
        <w:outlineLvl w:val="1"/>
        <w:rPr>
          <w:rFonts w:asciiTheme="majorEastAsia" w:eastAsiaTheme="majorEastAsia" w:hAnsiTheme="majorEastAsia"/>
          <w:b/>
          <w:bCs/>
          <w:kern w:val="0"/>
          <w:sz w:val="28"/>
          <w:szCs w:val="28"/>
        </w:rPr>
      </w:pPr>
      <w:r>
        <w:rPr>
          <w:rFonts w:asciiTheme="majorEastAsia" w:eastAsiaTheme="majorEastAsia" w:hAnsiTheme="majorEastAsia" w:hint="eastAsia"/>
          <w:b/>
          <w:bCs/>
          <w:kern w:val="0"/>
          <w:sz w:val="28"/>
          <w:szCs w:val="28"/>
        </w:rPr>
        <w:t>投标文件的递交</w:t>
      </w:r>
      <w:bookmarkStart w:id="40" w:name="_Hlk72405459"/>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24．投标书的保密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24.1在投标文件制作完成后，在投标文件制作软件点击【生成标书】按钮进入【填写开标一览表界面】界面，在该界面填写完开标一览表信息后点击【确定】，进入投标文件生成环节。投标文件制作软件会在投标文件生成过程中，提示用户输入密码，输入密码后对标文件自动进行加密，此加密程序确保投标文件在到达开标时间后才能解密查看。在加密过程中，请按照软件提示进行操作。加密操作界面如下图所示：</w:t>
      </w:r>
    </w:p>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drawing>
          <wp:inline distT="0" distB="0" distL="0" distR="0">
            <wp:extent cx="5278755" cy="2721610"/>
            <wp:effectExtent l="0" t="0" r="0" b="2540"/>
            <wp:docPr id="9" name="图片 7"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图形用户界面, 应用程序&#10;&#10;描述已自动生成"/>
                    <pic:cNvPicPr>
                      <a:picLocks noChangeAspect="1" noChangeArrowheads="1"/>
                    </pic:cNvPicPr>
                  </pic:nvPicPr>
                  <pic:blipFill>
                    <a:blip xmlns:r="http://schemas.openxmlformats.org/officeDocument/2006/relationships" r:embed="rId12"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8755" cy="2721610"/>
                    </a:xfrm>
                    <a:prstGeom prst="rect">
                      <a:avLst/>
                    </a:prstGeom>
                    <a:noFill/>
                    <a:ln>
                      <a:noFill/>
                    </a:ln>
                  </pic:spPr>
                </pic:pic>
              </a:graphicData>
            </a:graphic>
          </wp:inline>
        </w:drawing>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在投标文件制作软件点击【生成标书】按钮进入【填写开标一览表界面】界面，在该界面填写完开标一览表信息后点击【确定】，进入投标文件生成环节。</w:t>
      </w:r>
      <w:r>
        <w:rPr>
          <w:rFonts w:asciiTheme="majorEastAsia" w:eastAsiaTheme="majorEastAsia" w:hAnsiTheme="majorEastAsia"/>
          <w:szCs w:val="21"/>
        </w:rPr>
        <w:drawing>
          <wp:inline distT="0" distB="0" distL="0" distR="0">
            <wp:extent cx="5278755" cy="2732405"/>
            <wp:effectExtent l="0" t="0" r="0" b="0"/>
            <wp:docPr id="12" name="图片 8"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descr="图形用户界面&#10;&#10;描述已自动生成"/>
                    <pic:cNvPicPr>
                      <a:picLocks noChangeAspect="1" noChangeArrowheads="1"/>
                    </pic:cNvPicPr>
                  </pic:nvPicPr>
                  <pic:blipFill>
                    <a:blip xmlns:r="http://schemas.openxmlformats.org/officeDocument/2006/relationships" r:embed="rId13"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8755" cy="2732405"/>
                    </a:xfrm>
                    <a:prstGeom prst="rect">
                      <a:avLst/>
                    </a:prstGeom>
                    <a:noFill/>
                    <a:ln>
                      <a:noFill/>
                    </a:ln>
                  </pic:spPr>
                </pic:pic>
              </a:graphicData>
            </a:graphic>
          </wp:inline>
        </w:drawing>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投标文件制作软件会在投标文件生成过程中，提示用户输入密码，输入密码后对标文件自动进行加密。</w:t>
      </w:r>
    </w:p>
    <w:p>
      <w:pPr>
        <w:spacing w:line="360" w:lineRule="auto"/>
        <w:ind w:firstLine="420" w:firstLineChars="200"/>
        <w:rPr>
          <w:rFonts w:asciiTheme="majorEastAsia" w:eastAsiaTheme="majorEastAsia" w:hAnsiTheme="majorEastAsia"/>
          <w:b/>
          <w:szCs w:val="21"/>
        </w:rPr>
      </w:pPr>
      <w:r>
        <w:rPr>
          <w:rFonts w:asciiTheme="majorEastAsia" w:eastAsiaTheme="majorEastAsia" w:hAnsiTheme="majorEastAsia" w:hint="eastAsia"/>
          <w:b/>
          <w:szCs w:val="21"/>
        </w:rPr>
        <w:t>24.2若采购项目出现延期情况：</w:t>
      </w:r>
    </w:p>
    <w:p>
      <w:pPr>
        <w:spacing w:line="360" w:lineRule="auto"/>
        <w:ind w:firstLine="420" w:firstLineChars="200"/>
        <w:rPr>
          <w:rFonts w:asciiTheme="majorEastAsia" w:eastAsiaTheme="majorEastAsia" w:hAnsiTheme="majorEastAsia"/>
          <w:b/>
          <w:szCs w:val="21"/>
        </w:rPr>
      </w:pPr>
      <w:r>
        <w:rPr>
          <w:rFonts w:asciiTheme="majorEastAsia" w:eastAsiaTheme="majorEastAsia" w:hAnsiTheme="majorEastAsia" w:hint="eastAsia"/>
          <w:b/>
          <w:szCs w:val="21"/>
        </w:rPr>
        <w:t>如果供下载的招标文件（后缀名为.</w:t>
      </w:r>
      <w:r>
        <w:rPr>
          <w:rFonts w:asciiTheme="majorEastAsia" w:eastAsiaTheme="majorEastAsia" w:hAnsiTheme="majorEastAsia"/>
          <w:b/>
          <w:szCs w:val="21"/>
        </w:rPr>
        <w:t>szczf</w:t>
      </w:r>
      <w:r>
        <w:rPr>
          <w:rFonts w:asciiTheme="majorEastAsia" w:eastAsiaTheme="majorEastAsia" w:hAnsiTheme="majorEastAsia" w:hint="eastAsia"/>
          <w:b/>
          <w:szCs w:val="21"/>
        </w:rPr>
        <w:t>）有更新，投标人必须重新下载招标文件、重新制作投标文件、重新加密投标文件、重新上传投标文件；如果供下载的招标文件（后缀名为.</w:t>
      </w:r>
      <w:r>
        <w:rPr>
          <w:rFonts w:asciiTheme="majorEastAsia" w:eastAsiaTheme="majorEastAsia" w:hAnsiTheme="majorEastAsia"/>
          <w:b/>
          <w:szCs w:val="21"/>
        </w:rPr>
        <w:t>szczf</w:t>
      </w:r>
      <w:r>
        <w:rPr>
          <w:rFonts w:asciiTheme="majorEastAsia" w:eastAsiaTheme="majorEastAsia" w:hAnsiTheme="majorEastAsia" w:hint="eastAsia"/>
          <w:b/>
          <w:szCs w:val="21"/>
        </w:rPr>
        <w:t>）没有更新，投标人必须重新加密投标文件、重新上传投标文件（是否重新制作投标文件根据项目实际情况定）。否则，投标人自行承担投标文件无法解密导致投标无效的后果。</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25．上传投标文件及投标截止日期</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25</w:t>
      </w:r>
      <w:r>
        <w:rPr>
          <w:rFonts w:asciiTheme="majorEastAsia" w:eastAsiaTheme="majorEastAsia" w:hAnsiTheme="majorEastAsia"/>
          <w:szCs w:val="21"/>
        </w:rPr>
        <w:t>.</w:t>
      </w:r>
      <w:r>
        <w:rPr>
          <w:rFonts w:asciiTheme="majorEastAsia" w:eastAsiaTheme="majorEastAsia" w:hAnsiTheme="majorEastAsia" w:hint="eastAsia"/>
          <w:szCs w:val="21"/>
        </w:rPr>
        <w:t>1实行网上投标，</w:t>
      </w:r>
      <w:r>
        <w:rPr>
          <w:rFonts w:asciiTheme="majorEastAsia" w:eastAsiaTheme="majorEastAsia" w:hAnsiTheme="majorEastAsia"/>
          <w:szCs w:val="21"/>
        </w:rPr>
        <w:t>投标人必须</w:t>
      </w:r>
      <w:r>
        <w:rPr>
          <w:rFonts w:asciiTheme="majorEastAsia" w:eastAsiaTheme="majorEastAsia" w:hAnsiTheme="majorEastAsia" w:hint="eastAsia"/>
          <w:szCs w:val="21"/>
        </w:rPr>
        <w:t>在招标</w:t>
      </w:r>
      <w:r>
        <w:rPr>
          <w:rFonts w:asciiTheme="majorEastAsia" w:eastAsiaTheme="majorEastAsia" w:hAnsiTheme="majorEastAsia"/>
          <w:szCs w:val="21"/>
        </w:rPr>
        <w:t>文件规定的投标截止时间前</w:t>
      </w:r>
      <w:r>
        <w:rPr>
          <w:rFonts w:asciiTheme="majorEastAsia" w:eastAsiaTheme="majorEastAsia" w:hAnsiTheme="majorEastAsia" w:hint="eastAsia"/>
          <w:szCs w:val="21"/>
        </w:rPr>
        <w:t>用电子密钥登录“深圳政府采购智慧平台用户网上办事子系统（http://zfcg.szggzy.com/TPBidder/memberLogin）”，用“【我的项目】→【项目流程】→【递交投标(应答)文件】”功能点上传投标文件。</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25.2采购代理机构可以按本通用条款第13条规定，通过修改招标文件自行决定酌情延长投标截止期。在此情况下，采购代理机构、采购人和投标人受投标截止期制约的所有权利和义务均应延长至新的截止期。</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25</w:t>
      </w:r>
      <w:r>
        <w:rPr>
          <w:rFonts w:asciiTheme="majorEastAsia" w:eastAsiaTheme="majorEastAsia" w:hAnsiTheme="majorEastAsia"/>
          <w:szCs w:val="21"/>
        </w:rPr>
        <w:t>.</w:t>
      </w:r>
      <w:r>
        <w:rPr>
          <w:rFonts w:asciiTheme="majorEastAsia" w:eastAsiaTheme="majorEastAsia" w:hAnsiTheme="majorEastAsia" w:hint="eastAsia"/>
          <w:szCs w:val="21"/>
        </w:rPr>
        <w:t>3投标截止时间以后不得上传投标文件。</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25.4.投标人须在开标当日的开标时间至解密截止时间内进行解密，逾期未解密的作无效处理。解密方法：登录“深圳政府采购智慧平台用户网上办事子系统（http://zfcg.szggzy.com/TPBidder/memberLogin）”，使用本单位制作电子投标文件同一个电子密钥，在“【我的项目】→【项目流程】→【开标及解密】”进行在线解密、查询开标情况。</w:t>
      </w:r>
    </w:p>
    <w:p>
      <w:pPr>
        <w:spacing w:line="360" w:lineRule="auto"/>
        <w:rPr>
          <w:rFonts w:asciiTheme="majorEastAsia" w:eastAsiaTheme="majorEastAsia" w:hAnsiTheme="majorEastAsia"/>
          <w:b/>
          <w:bCs/>
          <w:szCs w:val="21"/>
        </w:rPr>
      </w:pPr>
      <w:bookmarkEnd w:id="40"/>
      <w:r>
        <w:rPr>
          <w:rFonts w:asciiTheme="majorEastAsia" w:eastAsiaTheme="majorEastAsia" w:hAnsiTheme="majorEastAsia" w:hint="eastAsia"/>
          <w:b/>
          <w:bCs/>
          <w:szCs w:val="21"/>
        </w:rPr>
        <w:t>26. 样品、现场演示、方案讲解</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26.1 样品、现场演示、方案讲解等事项在招标文件专用条款中进行规定。</w:t>
      </w:r>
    </w:p>
    <w:p>
      <w:pPr>
        <w:spacing w:line="360" w:lineRule="auto"/>
        <w:rPr>
          <w:rFonts w:asciiTheme="majorEastAsia" w:eastAsiaTheme="majorEastAsia" w:hAnsiTheme="majorEastAsia"/>
          <w:b/>
          <w:bCs/>
          <w:szCs w:val="21"/>
        </w:rPr>
      </w:pPr>
      <w:bookmarkStart w:id="41" w:name="_Hlk72428346"/>
      <w:r>
        <w:rPr>
          <w:rFonts w:asciiTheme="majorEastAsia" w:eastAsiaTheme="majorEastAsia" w:hAnsiTheme="majorEastAsia"/>
          <w:b/>
          <w:bCs/>
          <w:szCs w:val="21"/>
        </w:rPr>
        <w:t>2</w:t>
      </w:r>
      <w:r>
        <w:rPr>
          <w:rFonts w:asciiTheme="majorEastAsia" w:eastAsiaTheme="majorEastAsia" w:hAnsiTheme="majorEastAsia" w:hint="eastAsia"/>
          <w:b/>
          <w:bCs/>
          <w:szCs w:val="21"/>
        </w:rPr>
        <w:t>7．</w:t>
      </w:r>
      <w:r>
        <w:rPr>
          <w:rFonts w:asciiTheme="majorEastAsia" w:eastAsiaTheme="majorEastAsia" w:hAnsiTheme="majorEastAsia"/>
          <w:b/>
          <w:bCs/>
          <w:szCs w:val="21"/>
        </w:rPr>
        <w:t>投标文件的修改和撤销</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2</w:t>
      </w:r>
      <w:r>
        <w:rPr>
          <w:rFonts w:asciiTheme="majorEastAsia" w:eastAsiaTheme="majorEastAsia" w:hAnsiTheme="majorEastAsia" w:hint="eastAsia"/>
          <w:szCs w:val="21"/>
        </w:rPr>
        <w:t>7</w:t>
      </w:r>
      <w:r>
        <w:rPr>
          <w:rFonts w:asciiTheme="majorEastAsia" w:eastAsiaTheme="majorEastAsia" w:hAnsiTheme="majorEastAsia"/>
          <w:szCs w:val="21"/>
        </w:rPr>
        <w:t>.</w:t>
      </w:r>
      <w:r>
        <w:rPr>
          <w:rFonts w:asciiTheme="majorEastAsia" w:eastAsiaTheme="majorEastAsia" w:hAnsiTheme="majorEastAsia" w:hint="eastAsia"/>
          <w:szCs w:val="21"/>
        </w:rPr>
        <w:t>1</w:t>
      </w:r>
      <w:r>
        <w:rPr>
          <w:rFonts w:asciiTheme="majorEastAsia" w:eastAsiaTheme="majorEastAsia" w:hAnsiTheme="majorEastAsia"/>
          <w:szCs w:val="21"/>
        </w:rPr>
        <w:t>投标方在提交投标文件后可对其投标文件进行修改</w:t>
      </w:r>
      <w:r>
        <w:rPr>
          <w:rFonts w:asciiTheme="majorEastAsia" w:eastAsiaTheme="majorEastAsia" w:hAnsiTheme="majorEastAsia" w:hint="eastAsia"/>
          <w:szCs w:val="21"/>
        </w:rPr>
        <w:t>并重新上传投标文件</w:t>
      </w:r>
      <w:r>
        <w:rPr>
          <w:rFonts w:asciiTheme="majorEastAsia" w:eastAsiaTheme="majorEastAsia" w:hAnsiTheme="majorEastAsia"/>
          <w:szCs w:val="21"/>
        </w:rPr>
        <w:t>或</w:t>
      </w:r>
      <w:r>
        <w:rPr>
          <w:rFonts w:asciiTheme="majorEastAsia" w:eastAsiaTheme="majorEastAsia" w:hAnsiTheme="majorEastAsia" w:hint="eastAsia"/>
          <w:szCs w:val="21"/>
        </w:rPr>
        <w:t>在网上进行</w:t>
      </w:r>
      <w:r>
        <w:rPr>
          <w:rFonts w:asciiTheme="majorEastAsia" w:eastAsiaTheme="majorEastAsia" w:hAnsiTheme="majorEastAsia"/>
          <w:szCs w:val="21"/>
        </w:rPr>
        <w:t>撤销</w:t>
      </w:r>
      <w:r>
        <w:rPr>
          <w:rFonts w:asciiTheme="majorEastAsia" w:eastAsiaTheme="majorEastAsia" w:hAnsiTheme="majorEastAsia" w:hint="eastAsia"/>
          <w:szCs w:val="21"/>
        </w:rPr>
        <w:t>投标的操作</w:t>
      </w:r>
      <w:r>
        <w:rPr>
          <w:rFonts w:asciiTheme="majorEastAsia" w:eastAsiaTheme="majorEastAsia" w:hAnsiTheme="majorEastAsia"/>
          <w:szCs w:val="21"/>
        </w:rPr>
        <w:t>。</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2</w:t>
      </w:r>
      <w:r>
        <w:rPr>
          <w:rFonts w:asciiTheme="majorEastAsia" w:eastAsiaTheme="majorEastAsia" w:hAnsiTheme="majorEastAsia" w:hint="eastAsia"/>
          <w:szCs w:val="21"/>
        </w:rPr>
        <w:t>7</w:t>
      </w:r>
      <w:r>
        <w:rPr>
          <w:rFonts w:asciiTheme="majorEastAsia" w:eastAsiaTheme="majorEastAsia" w:hAnsiTheme="majorEastAsia"/>
          <w:szCs w:val="21"/>
        </w:rPr>
        <w:t>.</w:t>
      </w:r>
      <w:r>
        <w:rPr>
          <w:rFonts w:asciiTheme="majorEastAsia" w:eastAsiaTheme="majorEastAsia" w:hAnsiTheme="majorEastAsia" w:hint="eastAsia"/>
          <w:szCs w:val="21"/>
        </w:rPr>
        <w:t>2</w:t>
      </w:r>
      <w:r>
        <w:rPr>
          <w:rFonts w:asciiTheme="majorEastAsia" w:eastAsiaTheme="majorEastAsia" w:hAnsiTheme="majorEastAsia"/>
          <w:szCs w:val="21"/>
        </w:rPr>
        <w:t>投标截止时间以后不得修改投标文件。</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2</w:t>
      </w:r>
      <w:r>
        <w:rPr>
          <w:rFonts w:asciiTheme="majorEastAsia" w:eastAsiaTheme="majorEastAsia" w:hAnsiTheme="majorEastAsia" w:hint="eastAsia"/>
          <w:szCs w:val="21"/>
        </w:rPr>
        <w:t>7</w:t>
      </w:r>
      <w:r>
        <w:rPr>
          <w:rFonts w:asciiTheme="majorEastAsia" w:eastAsiaTheme="majorEastAsia" w:hAnsiTheme="majorEastAsia"/>
          <w:szCs w:val="21"/>
        </w:rPr>
        <w:t>.</w:t>
      </w:r>
      <w:r>
        <w:rPr>
          <w:rFonts w:asciiTheme="majorEastAsia" w:eastAsiaTheme="majorEastAsia" w:hAnsiTheme="majorEastAsia" w:hint="eastAsia"/>
          <w:szCs w:val="21"/>
        </w:rPr>
        <w:t>3从投标截止期至投标人在投标文件中确定的投标有效期之间的这段时间内，投标人不得撤回其投标。</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27.4采购代理机构不退还投标文件，专用条款另有规定的除外。</w:t>
      </w:r>
    </w:p>
    <w:p>
      <w:pPr>
        <w:keepNext/>
        <w:keepLines/>
        <w:widowControl/>
        <w:numPr>
          <w:ilvl w:val="0"/>
          <w:numId w:val="2"/>
        </w:numPr>
        <w:adjustRightInd w:val="0"/>
        <w:spacing w:before="156" w:beforeLines="50" w:after="156" w:afterLines="50" w:line="360" w:lineRule="auto"/>
        <w:ind w:left="562" w:hanging="562"/>
        <w:jc w:val="center"/>
        <w:textAlignment w:val="baseline"/>
        <w:outlineLvl w:val="1"/>
        <w:rPr>
          <w:rFonts w:asciiTheme="majorEastAsia" w:eastAsiaTheme="majorEastAsia" w:hAnsiTheme="majorEastAsia"/>
          <w:b/>
          <w:bCs/>
          <w:kern w:val="0"/>
          <w:sz w:val="28"/>
          <w:szCs w:val="28"/>
        </w:rPr>
      </w:pPr>
      <w:bookmarkEnd w:id="41"/>
      <w:r>
        <w:rPr>
          <w:rFonts w:asciiTheme="majorEastAsia" w:eastAsiaTheme="majorEastAsia" w:hAnsiTheme="majorEastAsia" w:hint="eastAsia"/>
          <w:b/>
          <w:bCs/>
          <w:kern w:val="0"/>
          <w:sz w:val="28"/>
          <w:szCs w:val="28"/>
        </w:rPr>
        <w:t>开标</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28．开标</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szCs w:val="21"/>
        </w:rPr>
        <w:t>2</w:t>
      </w:r>
      <w:r>
        <w:rPr>
          <w:rFonts w:asciiTheme="majorEastAsia" w:eastAsiaTheme="majorEastAsia" w:hAnsiTheme="majorEastAsia" w:hint="eastAsia"/>
          <w:szCs w:val="21"/>
        </w:rPr>
        <w:t>8</w:t>
      </w:r>
      <w:r>
        <w:rPr>
          <w:rFonts w:asciiTheme="majorEastAsia" w:eastAsiaTheme="majorEastAsia" w:hAnsiTheme="majorEastAsia"/>
          <w:szCs w:val="21"/>
        </w:rPr>
        <w:t>.</w:t>
      </w:r>
      <w:r>
        <w:rPr>
          <w:rFonts w:asciiTheme="majorEastAsia" w:eastAsiaTheme="majorEastAsia" w:hAnsiTheme="majorEastAsia" w:hint="eastAsia"/>
          <w:szCs w:val="21"/>
        </w:rPr>
        <w:t>1投标人须在开标当日的开标时间至解密截止时间内进行解密，逾期未解密的作无效处理。解密方法：登录“深圳政府采购智慧平台用户网上办事子系统（</w:t>
      </w:r>
      <w:r>
        <w:rPr>
          <w:rFonts w:asciiTheme="majorEastAsia" w:eastAsiaTheme="majorEastAsia" w:hAnsiTheme="majorEastAsia"/>
          <w:szCs w:val="21"/>
        </w:rPr>
        <w:t>http://zfcg.szggzy.com/</w:t>
      </w:r>
      <w:r>
        <w:rPr>
          <w:rFonts w:asciiTheme="majorEastAsia" w:eastAsiaTheme="majorEastAsia" w:hAnsiTheme="majorEastAsia" w:hint="eastAsia"/>
          <w:szCs w:val="21"/>
        </w:rPr>
        <w:t>TPBidder/memberLogin）”，使用本单位制作电子投标文件同一个电子密钥，在“【我的项目】→【项目流程】→【开标及解密】”进行在线解密、查询开标情况。</w:t>
      </w:r>
    </w:p>
    <w:p>
      <w:pPr>
        <w:spacing w:line="360" w:lineRule="auto"/>
        <w:ind w:firstLine="359" w:firstLineChars="171"/>
        <w:rPr>
          <w:rFonts w:asciiTheme="majorEastAsia" w:eastAsiaTheme="majorEastAsia" w:hAnsiTheme="majorEastAsia"/>
          <w:szCs w:val="21"/>
        </w:rPr>
      </w:pPr>
      <w:r>
        <w:rPr>
          <w:rFonts w:asciiTheme="majorEastAsia" w:eastAsiaTheme="majorEastAsia" w:hAnsiTheme="majorEastAsia" w:hint="eastAsia"/>
          <w:szCs w:val="21"/>
        </w:rPr>
        <w:t>2</w:t>
      </w:r>
      <w:r>
        <w:rPr>
          <w:rFonts w:asciiTheme="majorEastAsia" w:eastAsiaTheme="majorEastAsia" w:hAnsiTheme="majorEastAsia"/>
          <w:szCs w:val="21"/>
        </w:rPr>
        <w:t xml:space="preserve">8.2 </w:t>
      </w:r>
      <w:r>
        <w:rPr>
          <w:rFonts w:asciiTheme="majorEastAsia" w:eastAsiaTheme="majorEastAsia" w:hAnsiTheme="majorEastAsia" w:hint="eastAsia"/>
          <w:szCs w:val="21"/>
        </w:rPr>
        <w:t>采购代理机构将在满足开标条件（</w:t>
      </w:r>
      <w:r>
        <w:rPr>
          <w:rFonts w:asciiTheme="majorEastAsia" w:eastAsiaTheme="majorEastAsia" w:hAnsiTheme="majorEastAsia" w:cs="宋体" w:hint="eastAsia"/>
          <w:color w:val="333333"/>
          <w:szCs w:val="21"/>
          <w:shd w:val="clear" w:color="auto" w:fill="FFFFFF"/>
        </w:rPr>
        <w:t>①</w:t>
      </w:r>
      <w:r>
        <w:rPr>
          <w:rFonts w:asciiTheme="majorEastAsia" w:eastAsiaTheme="majorEastAsia" w:hAnsiTheme="majorEastAsia" w:hint="eastAsia"/>
          <w:szCs w:val="21"/>
        </w:rPr>
        <w:t>解密时间结束，解密后的投标供应商数量满足开标要求或</w:t>
      </w:r>
      <w:r>
        <w:rPr>
          <w:rFonts w:asciiTheme="majorEastAsia" w:eastAsiaTheme="majorEastAsia" w:hAnsiTheme="majorEastAsia" w:cs="宋体" w:hint="eastAsia"/>
          <w:color w:val="333333"/>
          <w:szCs w:val="21"/>
          <w:shd w:val="clear" w:color="auto" w:fill="FFFFFF"/>
        </w:rPr>
        <w:t>②</w:t>
      </w:r>
      <w:r>
        <w:rPr>
          <w:rFonts w:asciiTheme="majorEastAsia" w:eastAsiaTheme="majorEastAsia" w:hAnsiTheme="majorEastAsia" w:hint="eastAsia"/>
          <w:szCs w:val="21"/>
        </w:rPr>
        <w:t>解密时间结束前所有投标供应商均完成投标文件解密）后，对投标文件进行开标，并在网上公布开标结果。</w:t>
      </w:r>
    </w:p>
    <w:p>
      <w:pPr>
        <w:keepNext/>
        <w:keepLines/>
        <w:widowControl/>
        <w:numPr>
          <w:ilvl w:val="0"/>
          <w:numId w:val="2"/>
        </w:numPr>
        <w:adjustRightInd w:val="0"/>
        <w:spacing w:before="156" w:beforeLines="50" w:after="156" w:afterLines="50" w:line="360" w:lineRule="auto"/>
        <w:ind w:left="562" w:hanging="562"/>
        <w:jc w:val="center"/>
        <w:textAlignment w:val="baseline"/>
        <w:outlineLvl w:val="1"/>
        <w:rPr>
          <w:rFonts w:asciiTheme="majorEastAsia" w:eastAsiaTheme="majorEastAsia" w:hAnsiTheme="majorEastAsia"/>
          <w:b/>
          <w:bCs/>
          <w:kern w:val="0"/>
          <w:sz w:val="28"/>
          <w:szCs w:val="28"/>
        </w:rPr>
      </w:pPr>
      <w:r>
        <w:rPr>
          <w:rFonts w:asciiTheme="majorEastAsia" w:eastAsiaTheme="majorEastAsia" w:hAnsiTheme="majorEastAsia" w:hint="eastAsia"/>
          <w:b/>
          <w:bCs/>
          <w:kern w:val="0"/>
          <w:sz w:val="28"/>
          <w:szCs w:val="28"/>
        </w:rPr>
        <w:t>评审要求</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29．评审委员会组成</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29.1网上开标结束后召开评审会议，评审委员会由采购代理机构依法组建，负责评审活动。</w:t>
      </w:r>
    </w:p>
    <w:p>
      <w:pPr>
        <w:spacing w:line="360" w:lineRule="auto"/>
        <w:ind w:firstLine="412" w:firstLineChars="196"/>
        <w:rPr>
          <w:rFonts w:asciiTheme="majorEastAsia" w:eastAsiaTheme="majorEastAsia" w:hAnsiTheme="majorEastAsia"/>
          <w:szCs w:val="21"/>
        </w:rPr>
      </w:pPr>
      <w:bookmarkStart w:id="42" w:name="_Hlk72436580"/>
      <w:r>
        <w:rPr>
          <w:rFonts w:asciiTheme="majorEastAsia" w:eastAsiaTheme="majorEastAsia" w:hAnsiTheme="majorEastAsia" w:hint="eastAsia"/>
          <w:szCs w:val="21"/>
        </w:rPr>
        <w:t>评审委员会由采购人代表和评审专家组成，成员人数应当为5人以上单数（部分条件下为7人以上单数），其中评审专家不得少于成员总数的三分之二。</w:t>
      </w:r>
      <w:bookmarkEnd w:id="42"/>
      <w:r>
        <w:rPr>
          <w:rFonts w:asciiTheme="majorEastAsia" w:eastAsiaTheme="majorEastAsia" w:hAnsiTheme="majorEastAsia" w:hint="eastAsia"/>
          <w:szCs w:val="21"/>
        </w:rPr>
        <w:t>评定分离项目</w:t>
      </w:r>
      <w:r>
        <w:rPr>
          <w:rFonts w:asciiTheme="majorEastAsia" w:eastAsiaTheme="majorEastAsia" w:hAnsiTheme="majorEastAsia"/>
          <w:szCs w:val="21"/>
        </w:rPr>
        <w:t>评审专家</w:t>
      </w:r>
      <w:r>
        <w:rPr>
          <w:rFonts w:asciiTheme="majorEastAsia" w:eastAsiaTheme="majorEastAsia" w:hAnsiTheme="majorEastAsia" w:hint="eastAsia"/>
          <w:szCs w:val="21"/>
        </w:rPr>
        <w:t>均</w:t>
      </w:r>
      <w:r>
        <w:rPr>
          <w:rFonts w:asciiTheme="majorEastAsia" w:eastAsiaTheme="majorEastAsia" w:hAnsiTheme="majorEastAsia"/>
          <w:szCs w:val="21"/>
        </w:rPr>
        <w:t>由</w:t>
      </w:r>
      <w:r>
        <w:rPr>
          <w:rFonts w:asciiTheme="majorEastAsia" w:eastAsiaTheme="majorEastAsia" w:hAnsiTheme="majorEastAsia" w:hint="eastAsia"/>
          <w:szCs w:val="21"/>
        </w:rPr>
        <w:t>评审专家组成。评审专家一般是从深圳市政府采购评审专家库中随机抽取。采购人代表须持本单位签发的《评审授权书》参加评审。</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29.2评审定标应当遵循公平、公正、科学、择优的原则。</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29.3评审活动依法进行，任何单位和个人不得非法干预评标过程和结果。</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29.4评审过程中不允许违背评标程序或采用招标文件未载明的评标方法或评标因素进行评标。</w:t>
      </w:r>
    </w:p>
    <w:p>
      <w:pPr>
        <w:spacing w:line="360" w:lineRule="auto"/>
        <w:ind w:firstLine="412" w:firstLineChars="196"/>
        <w:rPr>
          <w:rFonts w:asciiTheme="majorEastAsia" w:eastAsiaTheme="majorEastAsia" w:hAnsiTheme="majorEastAsia"/>
          <w:bCs/>
          <w:szCs w:val="21"/>
        </w:rPr>
      </w:pPr>
      <w:r>
        <w:rPr>
          <w:rFonts w:asciiTheme="majorEastAsia" w:eastAsiaTheme="majorEastAsia" w:hAnsiTheme="majorEastAsia" w:hint="eastAsia"/>
          <w:bCs/>
          <w:szCs w:val="21"/>
        </w:rPr>
        <w:t>29.5 开标后，直到签订合同为止，凡属于对投标文件的审查、澄清、评价和比较的有关资料以及中标候选人的推荐情况、与评审有关的其他任何情况均严格保密（</w:t>
      </w:r>
      <w:r>
        <w:rPr>
          <w:rFonts w:asciiTheme="majorEastAsia" w:eastAsiaTheme="majorEastAsia" w:hAnsiTheme="majorEastAsia" w:hint="eastAsia"/>
          <w:szCs w:val="21"/>
        </w:rPr>
        <w:t>信息公开的内容除外</w:t>
      </w:r>
      <w:r>
        <w:rPr>
          <w:rFonts w:asciiTheme="majorEastAsia" w:eastAsiaTheme="majorEastAsia" w:hAnsiTheme="majorEastAsia" w:hint="eastAsia"/>
          <w:bCs/>
          <w:szCs w:val="21"/>
        </w:rPr>
        <w:t>）。</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30．向评审委员会提供的资料</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30.1公开发布的招标文件，包括图纸、服务清单、答疑文件等；</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30.2其他评标必须的资料。</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30.3评审委员会应当认真研究招标文件，至少应了解熟悉以下内容：</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（1）招标的目的；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（2）招标项目需求的范围和性质；</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（3）招标文件规定的投标人的资格、财政预算限额、商务条款；</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（4）招标文件规定的评标程序、评标方法和评标因素；</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（5）招标文件所列示的资格性审查表及符合性审查表。</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31．独立评审</w:t>
      </w:r>
    </w:p>
    <w:p>
      <w:pPr>
        <w:spacing w:line="360" w:lineRule="auto"/>
        <w:ind w:firstLine="412" w:firstLineChars="196"/>
        <w:rPr>
          <w:rFonts w:asciiTheme="majorEastAsia" w:eastAsiaTheme="majorEastAsia" w:hAnsiTheme="majorEastAsia"/>
          <w:bCs/>
          <w:szCs w:val="21"/>
        </w:rPr>
      </w:pPr>
      <w:r>
        <w:rPr>
          <w:rFonts w:asciiTheme="majorEastAsia" w:eastAsiaTheme="majorEastAsia" w:hAnsiTheme="majorEastAsia" w:hint="eastAsia"/>
          <w:bCs/>
          <w:szCs w:val="21"/>
        </w:rPr>
        <w:t>3</w:t>
      </w:r>
      <w:r>
        <w:rPr>
          <w:rFonts w:asciiTheme="majorEastAsia" w:eastAsiaTheme="majorEastAsia" w:hAnsiTheme="majorEastAsia"/>
          <w:bCs/>
          <w:szCs w:val="21"/>
        </w:rPr>
        <w:t>1</w:t>
      </w:r>
      <w:r>
        <w:rPr>
          <w:rFonts w:asciiTheme="majorEastAsia" w:eastAsiaTheme="majorEastAsia" w:hAnsiTheme="majorEastAsia" w:hint="eastAsia"/>
          <w:bCs/>
          <w:szCs w:val="21"/>
        </w:rPr>
        <w:t>.1</w:t>
      </w:r>
      <w:r>
        <w:rPr>
          <w:rFonts w:asciiTheme="majorEastAsia" w:eastAsiaTheme="majorEastAsia" w:hAnsiTheme="majorEastAsia" w:hint="eastAsia"/>
          <w:szCs w:val="21"/>
        </w:rPr>
        <w:t>评审委员会</w:t>
      </w:r>
      <w:r>
        <w:rPr>
          <w:rFonts w:asciiTheme="majorEastAsia" w:eastAsiaTheme="majorEastAsia" w:hAnsiTheme="majorEastAsia" w:hint="eastAsia"/>
          <w:bCs/>
          <w:szCs w:val="21"/>
        </w:rPr>
        <w:t>成员的评标活动应当独立进行，并应遵循投标文件初审、澄清有关问题、比较与评价、确定中标供应商、编写评审报告的工作程序。</w:t>
      </w:r>
    </w:p>
    <w:p>
      <w:pPr>
        <w:keepNext/>
        <w:keepLines/>
        <w:widowControl/>
        <w:numPr>
          <w:ilvl w:val="0"/>
          <w:numId w:val="2"/>
        </w:numPr>
        <w:adjustRightInd w:val="0"/>
        <w:spacing w:before="156" w:beforeLines="50" w:after="156" w:afterLines="50" w:line="360" w:lineRule="auto"/>
        <w:ind w:left="562" w:hanging="562"/>
        <w:jc w:val="center"/>
        <w:textAlignment w:val="baseline"/>
        <w:outlineLvl w:val="1"/>
        <w:rPr>
          <w:rFonts w:asciiTheme="majorEastAsia" w:eastAsiaTheme="majorEastAsia" w:hAnsiTheme="majorEastAsia"/>
          <w:b/>
          <w:bCs/>
          <w:kern w:val="0"/>
          <w:sz w:val="28"/>
          <w:szCs w:val="28"/>
        </w:rPr>
      </w:pPr>
      <w:r>
        <w:rPr>
          <w:rFonts w:asciiTheme="majorEastAsia" w:eastAsiaTheme="majorEastAsia" w:hAnsiTheme="majorEastAsia" w:hint="eastAsia"/>
          <w:b/>
          <w:bCs/>
          <w:kern w:val="0"/>
          <w:sz w:val="28"/>
          <w:szCs w:val="28"/>
        </w:rPr>
        <w:t>评审程序及评审方法</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32．投标文件初审</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32.1投标文件初审包括资格性审查和符合性审查。</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资格性审查：依据法律法规和招标文件的规定，对投标文件中的资格证明等进行审查，以确定投标供应商是否具备投标资格。</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符合性审查：依据招标文件的规定，对投标文件的有效性、完整性和对招标文件的响应程度进行审查，以确定是否满足符合性审查的要求。</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32.2 投标文件初审内容请详见《资格性审查表》和《符合性审查表》部分。投标人若有一条审查不通过则按投标无效处理。</w:t>
      </w:r>
    </w:p>
    <w:p>
      <w:pPr>
        <w:spacing w:line="360" w:lineRule="auto"/>
        <w:ind w:firstLine="412" w:firstLineChars="196"/>
        <w:rPr>
          <w:rFonts w:asciiTheme="majorEastAsia" w:eastAsiaTheme="majorEastAsia" w:hAnsiTheme="majorEastAsia"/>
          <w:bCs/>
          <w:szCs w:val="21"/>
        </w:rPr>
      </w:pPr>
      <w:r>
        <w:rPr>
          <w:rFonts w:asciiTheme="majorEastAsia" w:eastAsiaTheme="majorEastAsia" w:hAnsiTheme="majorEastAsia" w:hint="eastAsia"/>
          <w:bCs/>
          <w:szCs w:val="21"/>
        </w:rPr>
        <w:t>32.3 投标文件初审中关于供应商家数的计算:</w:t>
      </w:r>
    </w:p>
    <w:p>
      <w:pPr>
        <w:spacing w:line="360" w:lineRule="auto"/>
        <w:ind w:firstLine="412" w:firstLineChars="196"/>
        <w:rPr>
          <w:rFonts w:asciiTheme="majorEastAsia" w:eastAsiaTheme="majorEastAsia" w:hAnsiTheme="majorEastAsia"/>
          <w:bCs/>
          <w:szCs w:val="21"/>
        </w:rPr>
      </w:pPr>
      <w:r>
        <w:rPr>
          <w:rFonts w:asciiTheme="majorEastAsia" w:eastAsiaTheme="majorEastAsia" w:hAnsiTheme="majorEastAsia" w:hint="eastAsia"/>
          <w:bCs/>
          <w:szCs w:val="21"/>
        </w:rPr>
        <w:t>32.3.1采用最低评标价法的采购项目，提供相同品牌产品的不同投标人参加同一合同项下投标的，以其中通过资格审查、符合性审查且报价最低的参加评标；报价相同的，由采购人或者采购人委托评审委员会按照招标文件规定的方式确定一个参加评审的投标人，招标文件未规定的采取随机抽取方式确定，其他投标无效。</w:t>
      </w:r>
    </w:p>
    <w:p>
      <w:pPr>
        <w:spacing w:line="360" w:lineRule="auto"/>
        <w:ind w:firstLine="412" w:firstLineChars="196"/>
        <w:rPr>
          <w:rFonts w:asciiTheme="majorEastAsia" w:eastAsiaTheme="majorEastAsia" w:hAnsiTheme="majorEastAsia"/>
          <w:bCs/>
          <w:szCs w:val="21"/>
        </w:rPr>
      </w:pPr>
      <w:r>
        <w:rPr>
          <w:rFonts w:asciiTheme="majorEastAsia" w:eastAsiaTheme="majorEastAsia" w:hAnsiTheme="majorEastAsia" w:hint="eastAsia"/>
          <w:bCs/>
          <w:szCs w:val="21"/>
        </w:rPr>
        <w:t>32.3.2采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审委员会按照招标文件规定的方式确定一个投标人获得中标人推荐资格，招标文件未规定的采取随机抽取方式确定，其他同品牌投标人不作为中标候选人。</w:t>
      </w:r>
    </w:p>
    <w:p>
      <w:pPr>
        <w:spacing w:line="360" w:lineRule="auto"/>
        <w:ind w:firstLine="412" w:firstLineChars="196"/>
        <w:rPr>
          <w:rFonts w:asciiTheme="majorEastAsia" w:eastAsiaTheme="majorEastAsia" w:hAnsiTheme="majorEastAsia"/>
          <w:bCs/>
          <w:szCs w:val="21"/>
        </w:rPr>
      </w:pPr>
      <w:r>
        <w:rPr>
          <w:rFonts w:asciiTheme="majorEastAsia" w:eastAsiaTheme="majorEastAsia" w:hAnsiTheme="majorEastAsia" w:hint="eastAsia"/>
          <w:bCs/>
          <w:szCs w:val="21"/>
        </w:rPr>
        <w:t>32.3.3非单一产品采购项目，采购人应当根据采购项目技术构成、产品价格比重等合理确定核心产品，并在招标文件中载明。多家投标人提供的核心产品品牌相同的，按前两款规定处理。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32.4投标人投标文件作无效处理的情形，具体包括但不限于以下：</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32.4.1不同投标人的投标文件由同一单位或者同一个人编制，或者由同一个人分阶段参与编制；</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32.4.</w:t>
      </w:r>
      <w:r>
        <w:rPr>
          <w:rFonts w:asciiTheme="majorEastAsia" w:eastAsiaTheme="majorEastAsia" w:hAnsiTheme="majorEastAsia" w:hint="eastAsia"/>
          <w:szCs w:val="21"/>
        </w:rPr>
        <w:t>2不同投标人委托同一单位或者个人办理投标事宜；</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32.4.3不同投标人的投标文件载明的项目管理成员或者联系人员为同一人；</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32.4.4不同投标人的投标文件异常一致或者投标报价呈规律性差异；</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32.4.5</w:t>
      </w:r>
      <w:r>
        <w:rPr>
          <w:rFonts w:asciiTheme="majorEastAsia" w:eastAsiaTheme="majorEastAsia" w:hAnsiTheme="majorEastAsia"/>
          <w:szCs w:val="21"/>
        </w:rPr>
        <w:t>不同投标供应商的投标文件或部分投标文件相互混装</w:t>
      </w:r>
      <w:r>
        <w:rPr>
          <w:rFonts w:asciiTheme="majorEastAsia" w:eastAsiaTheme="majorEastAsia" w:hAnsiTheme="majorEastAsia" w:hint="eastAsia"/>
          <w:szCs w:val="21"/>
        </w:rPr>
        <w:t>；</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32.4.6投标供应商之间相互约定给予未中标的供应商利益补偿；</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32.4.7不同投标供应商的法定代表人、主要经营负责人、项目投标授权代表人、项目负责人、主要技术人员为同一人、属同一单位或者同一单位缴纳社会保险；</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32.4.8不同投标供应商的投标文件内容存在非正常一致；</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32.4.9在同一单位工作人员为两家以上（含两家）供应商进行同一项投标活动；</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32.4.10主管部门依照法律、法规认定的其他情形。</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32.5对不属于《资格性审查表》和《符合性审查表》所列的其他情形，除专用条款另有规定和32.4条款所列情形外，不得作为投标无效的理由。</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33．澄清有关问题</w:t>
      </w:r>
    </w:p>
    <w:p>
      <w:pPr>
        <w:spacing w:line="360" w:lineRule="auto"/>
        <w:ind w:firstLine="412" w:firstLineChars="196"/>
        <w:rPr>
          <w:rFonts w:asciiTheme="majorEastAsia" w:eastAsiaTheme="majorEastAsia" w:hAnsiTheme="majorEastAsia"/>
          <w:szCs w:val="21"/>
        </w:rPr>
      </w:pPr>
      <w:bookmarkStart w:id="43" w:name="_Hlk71407321"/>
      <w:r>
        <w:rPr>
          <w:rFonts w:asciiTheme="majorEastAsia" w:eastAsiaTheme="majorEastAsia" w:hAnsiTheme="majorEastAsia" w:hint="eastAsia"/>
          <w:szCs w:val="21"/>
        </w:rPr>
        <w:t>3</w:t>
      </w:r>
      <w:r>
        <w:rPr>
          <w:rFonts w:asciiTheme="majorEastAsia" w:eastAsiaTheme="majorEastAsia" w:hAnsiTheme="majorEastAsia"/>
          <w:szCs w:val="21"/>
        </w:rPr>
        <w:t>3.1</w:t>
      </w:r>
      <w:r>
        <w:rPr>
          <w:rFonts w:asciiTheme="majorEastAsia" w:eastAsiaTheme="majorEastAsia" w:hAnsiTheme="majorEastAsia" w:hint="eastAsia"/>
          <w:szCs w:val="21"/>
        </w:rPr>
        <w:t>对招标文件中描述有歧义或前后不一致的地方（不含</w:t>
      </w:r>
      <w:r>
        <w:rPr>
          <w:rFonts w:asciiTheme="majorEastAsia" w:eastAsiaTheme="majorEastAsia" w:hAnsiTheme="majorEastAsia"/>
          <w:szCs w:val="21"/>
        </w:rPr>
        <w:t>招标文件存在歧义、重大缺陷导致评</w:t>
      </w:r>
      <w:r>
        <w:rPr>
          <w:rFonts w:asciiTheme="majorEastAsia" w:eastAsiaTheme="majorEastAsia" w:hAnsiTheme="majorEastAsia" w:hint="eastAsia"/>
          <w:szCs w:val="21"/>
        </w:rPr>
        <w:t>审</w:t>
      </w:r>
      <w:r>
        <w:rPr>
          <w:rFonts w:asciiTheme="majorEastAsia" w:eastAsiaTheme="majorEastAsia" w:hAnsiTheme="majorEastAsia"/>
          <w:szCs w:val="21"/>
        </w:rPr>
        <w:t>工作无法进行</w:t>
      </w:r>
      <w:r>
        <w:rPr>
          <w:rFonts w:asciiTheme="majorEastAsia" w:eastAsiaTheme="majorEastAsia" w:hAnsiTheme="majorEastAsia" w:hint="eastAsia"/>
          <w:szCs w:val="21"/>
        </w:rPr>
        <w:t>的情况），评审委员会有权进行评判，但对同一条款的评判应适用于每个投标人。</w:t>
      </w:r>
      <w:bookmarkEnd w:id="43"/>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w:t>
      </w:r>
      <w:r>
        <w:rPr>
          <w:rFonts w:asciiTheme="majorEastAsia" w:eastAsiaTheme="majorEastAsia" w:hAnsiTheme="majorEastAsia"/>
          <w:szCs w:val="21"/>
        </w:rPr>
        <w:t>3.2评</w:t>
      </w:r>
      <w:r>
        <w:rPr>
          <w:rFonts w:asciiTheme="majorEastAsia" w:eastAsiaTheme="majorEastAsia" w:hAnsiTheme="majorEastAsia" w:hint="eastAsia"/>
          <w:szCs w:val="21"/>
        </w:rPr>
        <w:t>审</w:t>
      </w:r>
      <w:r>
        <w:rPr>
          <w:rFonts w:asciiTheme="majorEastAsia" w:eastAsiaTheme="majorEastAsia" w:hAnsiTheme="majorEastAsia"/>
          <w:szCs w:val="21"/>
        </w:rPr>
        <w:t>委员会发现招标文件存在歧义、重大缺陷导致评</w:t>
      </w:r>
      <w:r>
        <w:rPr>
          <w:rFonts w:asciiTheme="majorEastAsia" w:eastAsiaTheme="majorEastAsia" w:hAnsiTheme="majorEastAsia" w:hint="eastAsia"/>
          <w:szCs w:val="21"/>
        </w:rPr>
        <w:t>审</w:t>
      </w:r>
      <w:r>
        <w:rPr>
          <w:rFonts w:asciiTheme="majorEastAsia" w:eastAsiaTheme="majorEastAsia" w:hAnsiTheme="majorEastAsia"/>
          <w:szCs w:val="21"/>
        </w:rPr>
        <w:t>工作无法进行，或者招标文件内容违反国家有关强制性规定的，应当停止评</w:t>
      </w:r>
      <w:r>
        <w:rPr>
          <w:rFonts w:asciiTheme="majorEastAsia" w:eastAsiaTheme="majorEastAsia" w:hAnsiTheme="majorEastAsia" w:hint="eastAsia"/>
          <w:szCs w:val="21"/>
        </w:rPr>
        <w:t>审</w:t>
      </w:r>
      <w:r>
        <w:rPr>
          <w:rFonts w:asciiTheme="majorEastAsia" w:eastAsiaTheme="majorEastAsia" w:hAnsiTheme="majorEastAsia"/>
          <w:szCs w:val="21"/>
        </w:rPr>
        <w:t>工作，与</w:t>
      </w:r>
      <w:r>
        <w:rPr>
          <w:rFonts w:asciiTheme="majorEastAsia" w:eastAsiaTheme="majorEastAsia" w:hAnsiTheme="majorEastAsia" w:hint="eastAsia"/>
          <w:szCs w:val="21"/>
        </w:rPr>
        <w:t>采购代理机构</w:t>
      </w:r>
      <w:r>
        <w:rPr>
          <w:rFonts w:asciiTheme="majorEastAsia" w:eastAsiaTheme="majorEastAsia" w:hAnsiTheme="majorEastAsia"/>
          <w:szCs w:val="21"/>
        </w:rPr>
        <w:t>沟通并作书面记录。</w:t>
      </w:r>
      <w:r>
        <w:rPr>
          <w:rFonts w:asciiTheme="majorEastAsia" w:eastAsiaTheme="majorEastAsia" w:hAnsiTheme="majorEastAsia" w:hint="eastAsia"/>
          <w:szCs w:val="21"/>
        </w:rPr>
        <w:t>经</w:t>
      </w:r>
      <w:r>
        <w:rPr>
          <w:rFonts w:asciiTheme="majorEastAsia" w:eastAsiaTheme="majorEastAsia" w:hAnsiTheme="majorEastAsia"/>
          <w:szCs w:val="21"/>
        </w:rPr>
        <w:t>确认后，</w:t>
      </w:r>
      <w:r>
        <w:rPr>
          <w:rFonts w:asciiTheme="majorEastAsia" w:eastAsiaTheme="majorEastAsia" w:hAnsiTheme="majorEastAsia" w:hint="eastAsia"/>
          <w:szCs w:val="21"/>
        </w:rPr>
        <w:t>项目</w:t>
      </w:r>
      <w:r>
        <w:rPr>
          <w:rFonts w:asciiTheme="majorEastAsia" w:eastAsiaTheme="majorEastAsia" w:hAnsiTheme="majorEastAsia"/>
          <w:szCs w:val="21"/>
        </w:rPr>
        <w:t>应当修改招标文件，重新组织采购活动。</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33.3</w:t>
      </w:r>
      <w:r>
        <w:rPr>
          <w:rFonts w:asciiTheme="majorEastAsia" w:eastAsiaTheme="majorEastAsia" w:hAnsiTheme="majorEastAsia" w:hint="eastAsia"/>
          <w:szCs w:val="21"/>
        </w:rPr>
        <w:t>对于投标文件中含义不明确、同类问题表述不一致或者有明显文字和计算错误的内容，评审委员会应当以书面形式要求投标人作出必要的澄清、说明或者补正。</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投标人的澄清、说明或者补正应当采用书面形式【书面形式是指文书、信件（含电子邮件）、电报、电传、传真等形式】，并加盖公章（或者由法定代表人或其授权的代表签字）。投标人的澄清、说明或者补正不得超出投标文件的范围或者改变投标文件的实质性内容。</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根据本通用条款第34条，凡属于评审委员会在评审中发现的算术错误进行核实的修改不在此列。</w:t>
      </w:r>
    </w:p>
    <w:p>
      <w:pPr>
        <w:spacing w:line="360" w:lineRule="auto"/>
        <w:rPr>
          <w:rFonts w:asciiTheme="majorEastAsia" w:eastAsiaTheme="majorEastAsia" w:hAnsiTheme="majorEastAsia"/>
          <w:b/>
          <w:bCs/>
          <w:szCs w:val="21"/>
        </w:rPr>
      </w:pPr>
      <w:bookmarkStart w:id="44" w:name="_Toc73517673"/>
      <w:bookmarkStart w:id="45" w:name="_Toc100052400"/>
      <w:bookmarkStart w:id="46" w:name="_Toc73521581"/>
      <w:bookmarkStart w:id="47" w:name="_Toc73518151"/>
      <w:bookmarkStart w:id="48" w:name="_Toc73521669"/>
      <w:r>
        <w:rPr>
          <w:rFonts w:asciiTheme="majorEastAsia" w:eastAsiaTheme="majorEastAsia" w:hAnsiTheme="majorEastAsia" w:hint="eastAsia"/>
          <w:b/>
          <w:bCs/>
          <w:szCs w:val="21"/>
        </w:rPr>
        <w:t>34．错误的修正</w:t>
      </w:r>
      <w:bookmarkEnd w:id="44"/>
      <w:bookmarkEnd w:id="45"/>
      <w:bookmarkEnd w:id="46"/>
      <w:bookmarkEnd w:id="47"/>
      <w:bookmarkEnd w:id="48"/>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投标文件报价出现前后不一致的，除专用条款另有规定外，按照下列规定修正：</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34.1投标文件中开标一览表投标报价内容与投标文件中投标报价相应内容不一致的，以开标一览表为准；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34.2大写金额和小写金额不一致的，以大写金额为准；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34.3单价金额小数点或者百分比有明显错位，以开标一览表的总价为准，并修改单价；</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34.4总价金额与按单价汇总金额不一致的，以单价金额计算结果为准。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34.5同时出现两种以上不一致的，按照前款规定的顺序修正。修正后的报价按照本通用条款33条的规定，经投标人确认后产生约束力，投标人不确认的，其投标无效。</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35．投标文件的比较与评价</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评审委员会将按照《深圳经济特区政府采购条例》、《深圳经济特区政府采购条例实施细则》、《深圳市政府采购评标定标分离管理办法》及政府采购其他法律法规，仅对通过资格性审查和符合性审查的投标文件进行综合比较与评价。</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评审委员会成员对需要共同认定的事项存在争议的，应当按照少数服从多数的原则作出结论。持不同意见的评审委员会成员应当书面作出说明，否则视为无异议。</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36. 实地考察或资料查验</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36.1在评审过程中，评审委员会有权决定是否对本项目投标人进行实地考察或资料查验（原件）。投标人应随时做好接受实地考察或资料查验的准备。</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37．评审方法</w:t>
      </w:r>
    </w:p>
    <w:p>
      <w:pPr>
        <w:spacing w:line="360" w:lineRule="auto"/>
        <w:ind w:firstLine="412" w:firstLineChars="196"/>
        <w:rPr>
          <w:rFonts w:asciiTheme="majorEastAsia" w:eastAsiaTheme="majorEastAsia" w:hAnsiTheme="majorEastAsia"/>
          <w:b/>
          <w:bCs/>
          <w:szCs w:val="21"/>
        </w:rPr>
      </w:pPr>
      <w:r>
        <w:rPr>
          <w:rFonts w:asciiTheme="majorEastAsia" w:eastAsiaTheme="majorEastAsia" w:hAnsiTheme="majorEastAsia" w:hint="eastAsia"/>
          <w:b/>
          <w:bCs/>
          <w:szCs w:val="21"/>
        </w:rPr>
        <w:t>37.1.1最低价法</w:t>
      </w:r>
    </w:p>
    <w:p>
      <w:pPr>
        <w:spacing w:line="360" w:lineRule="auto"/>
        <w:ind w:firstLine="412" w:firstLineChars="196"/>
        <w:rPr>
          <w:rFonts w:asciiTheme="majorEastAsia" w:eastAsiaTheme="majorEastAsia" w:hAnsiTheme="majorEastAsia"/>
          <w:szCs w:val="21"/>
        </w:rPr>
      </w:pPr>
      <w:bookmarkStart w:id="49" w:name="_Hlk72438142"/>
      <w:r>
        <w:rPr>
          <w:rFonts w:asciiTheme="majorEastAsia" w:eastAsiaTheme="majorEastAsia" w:hAnsiTheme="majorEastAsia"/>
          <w:szCs w:val="21"/>
        </w:rPr>
        <w:t>最低价法，是指</w:t>
      </w:r>
      <w:r>
        <w:rPr>
          <w:rFonts w:asciiTheme="majorEastAsia" w:eastAsiaTheme="majorEastAsia" w:hAnsiTheme="majorEastAsia" w:hint="eastAsia"/>
          <w:szCs w:val="21"/>
        </w:rPr>
        <w:t>完全</w:t>
      </w:r>
      <w:r>
        <w:rPr>
          <w:rFonts w:asciiTheme="majorEastAsia" w:eastAsiaTheme="majorEastAsia" w:hAnsiTheme="majorEastAsia"/>
          <w:szCs w:val="21"/>
        </w:rPr>
        <w:t>满足招标文件实质性要求，</w:t>
      </w:r>
      <w:r>
        <w:rPr>
          <w:rFonts w:asciiTheme="majorEastAsia" w:eastAsiaTheme="majorEastAsia" w:hAnsiTheme="majorEastAsia" w:hint="eastAsia"/>
          <w:szCs w:val="21"/>
        </w:rPr>
        <w:t>按照报价由低到高的顺序，依据招标文件中规定的数量或者比例推荐候选中标供应商。</w:t>
      </w:r>
    </w:p>
    <w:p>
      <w:pPr>
        <w:spacing w:line="360" w:lineRule="auto"/>
        <w:ind w:firstLine="412" w:firstLineChars="196"/>
        <w:rPr>
          <w:rFonts w:asciiTheme="majorEastAsia" w:eastAsiaTheme="majorEastAsia" w:hAnsiTheme="majorEastAsia"/>
          <w:b/>
          <w:bCs/>
          <w:szCs w:val="21"/>
        </w:rPr>
      </w:pPr>
      <w:r>
        <w:rPr>
          <w:rFonts w:asciiTheme="majorEastAsia" w:eastAsiaTheme="majorEastAsia" w:hAnsiTheme="majorEastAsia" w:hint="eastAsia"/>
          <w:b/>
          <w:bCs/>
          <w:szCs w:val="21"/>
        </w:rPr>
        <w:t>37.1.2综合评分法</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综合评分法，是指</w:t>
      </w:r>
      <w:r>
        <w:rPr>
          <w:rFonts w:asciiTheme="majorEastAsia" w:eastAsiaTheme="majorEastAsia" w:hAnsiTheme="majorEastAsia" w:hint="eastAsia"/>
          <w:szCs w:val="21"/>
        </w:rPr>
        <w:t>在</w:t>
      </w:r>
      <w:r>
        <w:rPr>
          <w:rFonts w:asciiTheme="majorEastAsia" w:eastAsiaTheme="majorEastAsia" w:hAnsiTheme="majorEastAsia"/>
          <w:szCs w:val="21"/>
        </w:rPr>
        <w:t>满足招标文件全部实质性要求</w:t>
      </w:r>
      <w:r>
        <w:rPr>
          <w:rFonts w:asciiTheme="majorEastAsia" w:eastAsiaTheme="majorEastAsia" w:hAnsiTheme="majorEastAsia" w:hint="eastAsia"/>
          <w:szCs w:val="21"/>
        </w:rPr>
        <w:t>的前提下</w:t>
      </w:r>
      <w:r>
        <w:rPr>
          <w:rFonts w:asciiTheme="majorEastAsia" w:eastAsiaTheme="majorEastAsia" w:hAnsiTheme="majorEastAsia"/>
          <w:szCs w:val="21"/>
        </w:rPr>
        <w:t>，</w:t>
      </w:r>
      <w:r>
        <w:rPr>
          <w:rFonts w:asciiTheme="majorEastAsia" w:eastAsiaTheme="majorEastAsia" w:hAnsiTheme="majorEastAsia" w:hint="eastAsia"/>
          <w:szCs w:val="21"/>
        </w:rPr>
        <w:t>按照招标文件中规定的各项因素进行综合评审，评审总得分排名前列的投标人，作为推荐的候选中标供应商。</w:t>
      </w:r>
      <w:bookmarkEnd w:id="49"/>
    </w:p>
    <w:p>
      <w:pPr>
        <w:spacing w:line="360" w:lineRule="auto"/>
        <w:ind w:firstLine="412" w:firstLineChars="196"/>
        <w:rPr>
          <w:rFonts w:asciiTheme="majorEastAsia" w:eastAsiaTheme="majorEastAsia" w:hAnsiTheme="majorEastAsia"/>
          <w:b/>
          <w:bCs/>
          <w:szCs w:val="21"/>
        </w:rPr>
      </w:pPr>
      <w:r>
        <w:rPr>
          <w:rFonts w:asciiTheme="majorEastAsia" w:eastAsiaTheme="majorEastAsia" w:hAnsiTheme="majorEastAsia" w:hint="eastAsia"/>
          <w:b/>
          <w:bCs/>
          <w:szCs w:val="21"/>
        </w:rPr>
        <w:t>37.2 本项目采用的评审方法见本项目招标文件第一册“专用条款”的相关内容。</w:t>
      </w:r>
    </w:p>
    <w:p>
      <w:pPr>
        <w:spacing w:line="360" w:lineRule="auto"/>
        <w:ind w:firstLine="412" w:firstLineChars="196"/>
        <w:rPr>
          <w:rFonts w:asciiTheme="majorEastAsia" w:eastAsiaTheme="majorEastAsia" w:hAnsiTheme="majorEastAsia"/>
          <w:b/>
          <w:bCs/>
          <w:szCs w:val="21"/>
        </w:rPr>
      </w:pPr>
      <w:r>
        <w:rPr>
          <w:rFonts w:asciiTheme="majorEastAsia" w:eastAsiaTheme="majorEastAsia" w:hAnsiTheme="majorEastAsia" w:hint="eastAsia"/>
          <w:b/>
          <w:bCs/>
          <w:szCs w:val="21"/>
        </w:rPr>
        <w:t>37.3重新评审的情形</w:t>
      </w:r>
    </w:p>
    <w:p>
      <w:pPr>
        <w:spacing w:line="360" w:lineRule="auto"/>
        <w:ind w:firstLine="412" w:firstLineChars="196"/>
        <w:rPr>
          <w:rFonts w:asciiTheme="majorEastAsia" w:eastAsiaTheme="majorEastAsia" w:hAnsiTheme="majorEastAsia"/>
          <w:b/>
          <w:bCs/>
          <w:szCs w:val="21"/>
        </w:rPr>
      </w:pPr>
      <w:r>
        <w:rPr>
          <w:rFonts w:asciiTheme="majorEastAsia" w:eastAsiaTheme="majorEastAsia" w:hAnsiTheme="majorEastAsia" w:cs="宋体" w:hint="eastAsia"/>
          <w:szCs w:val="21"/>
        </w:rPr>
        <w:t>评审结果汇总完成后，除下列情形外，任何人不得修改评审结果：</w:t>
      </w:r>
    </w:p>
    <w:p>
      <w:pPr>
        <w:spacing w:line="360" w:lineRule="auto"/>
        <w:ind w:firstLine="412" w:firstLineChars="196"/>
        <w:rPr>
          <w:rFonts w:asciiTheme="majorEastAsia" w:eastAsiaTheme="majorEastAsia" w:hAnsiTheme="majorEastAsia" w:cs="宋体"/>
          <w:szCs w:val="21"/>
        </w:rPr>
      </w:pPr>
      <w:r>
        <w:rPr>
          <w:rFonts w:asciiTheme="majorEastAsia" w:eastAsiaTheme="majorEastAsia" w:hAnsiTheme="majorEastAsia" w:cs="宋体" w:hint="eastAsia"/>
          <w:szCs w:val="21"/>
        </w:rPr>
        <w:t>37.3.1分值汇总计算错误的；</w:t>
      </w:r>
    </w:p>
    <w:p>
      <w:pPr>
        <w:spacing w:line="360" w:lineRule="auto"/>
        <w:ind w:firstLine="412" w:firstLineChars="196"/>
        <w:rPr>
          <w:rFonts w:asciiTheme="majorEastAsia" w:eastAsiaTheme="majorEastAsia" w:hAnsiTheme="majorEastAsia" w:cs="宋体"/>
          <w:szCs w:val="21"/>
        </w:rPr>
      </w:pPr>
      <w:r>
        <w:rPr>
          <w:rFonts w:asciiTheme="majorEastAsia" w:eastAsiaTheme="majorEastAsia" w:hAnsiTheme="majorEastAsia" w:cs="宋体" w:hint="eastAsia"/>
          <w:szCs w:val="21"/>
        </w:rPr>
        <w:t>37.3.2分项评分超出评分标准范围的；</w:t>
      </w:r>
    </w:p>
    <w:p>
      <w:pPr>
        <w:spacing w:line="360" w:lineRule="auto"/>
        <w:ind w:firstLine="412" w:firstLineChars="196"/>
        <w:rPr>
          <w:rFonts w:asciiTheme="majorEastAsia" w:eastAsiaTheme="majorEastAsia" w:hAnsiTheme="majorEastAsia" w:cs="宋体"/>
          <w:szCs w:val="21"/>
        </w:rPr>
      </w:pPr>
      <w:r>
        <w:rPr>
          <w:rFonts w:asciiTheme="majorEastAsia" w:eastAsiaTheme="majorEastAsia" w:hAnsiTheme="majorEastAsia" w:cs="宋体" w:hint="eastAsia"/>
          <w:szCs w:val="21"/>
        </w:rPr>
        <w:t>37.3.3评审委员会成员对客观评审因素评分不一致的；</w:t>
      </w:r>
    </w:p>
    <w:p>
      <w:pPr>
        <w:spacing w:line="360" w:lineRule="auto"/>
        <w:ind w:firstLine="412" w:firstLineChars="196"/>
        <w:rPr>
          <w:rFonts w:asciiTheme="majorEastAsia" w:eastAsiaTheme="majorEastAsia" w:hAnsiTheme="majorEastAsia" w:cs="宋体"/>
          <w:szCs w:val="21"/>
        </w:rPr>
      </w:pPr>
      <w:r>
        <w:rPr>
          <w:rFonts w:asciiTheme="majorEastAsia" w:eastAsiaTheme="majorEastAsia" w:hAnsiTheme="majorEastAsia" w:cs="宋体" w:hint="eastAsia"/>
          <w:szCs w:val="21"/>
        </w:rPr>
        <w:t>37.3.4经评审委员会认定评分畸高、畸低的。</w:t>
      </w:r>
    </w:p>
    <w:p>
      <w:pPr>
        <w:spacing w:line="360" w:lineRule="auto"/>
        <w:ind w:firstLine="412" w:firstLineChars="196"/>
        <w:rPr>
          <w:rFonts w:asciiTheme="majorEastAsia" w:eastAsiaTheme="majorEastAsia" w:hAnsiTheme="majorEastAsia" w:cs="宋体"/>
          <w:szCs w:val="21"/>
        </w:rPr>
      </w:pPr>
      <w:r>
        <w:rPr>
          <w:rFonts w:asciiTheme="majorEastAsia" w:eastAsiaTheme="majorEastAsia" w:hAnsiTheme="majorEastAsia" w:cs="宋体" w:hint="eastAsia"/>
          <w:szCs w:val="21"/>
        </w:rPr>
        <w:t>评审报告签署前，经复核发现存在以上情形之一的，评审委员会应当当场修改评审结果，并进行书面记载；评审报告签署后，采购人或者采购代理机构发现存在以上情形之一的，应当组织原评审委员会进行重新评审，重新评审改变评审结果的，书面报告本级财政部门。</w:t>
      </w:r>
    </w:p>
    <w:p>
      <w:pPr>
        <w:spacing w:line="360" w:lineRule="auto"/>
        <w:ind w:firstLine="412" w:firstLineChars="196"/>
        <w:rPr>
          <w:rFonts w:asciiTheme="majorEastAsia" w:eastAsiaTheme="majorEastAsia" w:hAnsiTheme="majorEastAsia" w:cs="宋体"/>
          <w:szCs w:val="21"/>
        </w:rPr>
      </w:pPr>
      <w:r>
        <w:rPr>
          <w:rFonts w:asciiTheme="majorEastAsia" w:eastAsiaTheme="majorEastAsia" w:hAnsiTheme="majorEastAsia" w:cs="宋体" w:hint="eastAsia"/>
          <w:szCs w:val="21"/>
        </w:rPr>
        <w:t>投标人对本条第一款情形提出质疑的，采购人或者采购代理机构可以组织原评审委员会进行重新评审，重新评审改变评审结果的，应当书面报告本级财政部门。</w:t>
      </w:r>
    </w:p>
    <w:p>
      <w:pPr>
        <w:spacing w:line="360" w:lineRule="auto"/>
        <w:ind w:firstLine="412" w:firstLineChars="196"/>
        <w:rPr>
          <w:rFonts w:asciiTheme="majorEastAsia" w:eastAsiaTheme="majorEastAsia" w:hAnsiTheme="majorEastAsia"/>
          <w:b/>
          <w:bCs/>
          <w:szCs w:val="21"/>
        </w:rPr>
      </w:pPr>
      <w:r>
        <w:rPr>
          <w:rFonts w:asciiTheme="majorEastAsia" w:eastAsiaTheme="majorEastAsia" w:hAnsiTheme="majorEastAsia" w:hint="eastAsia"/>
          <w:b/>
          <w:bCs/>
          <w:szCs w:val="21"/>
        </w:rPr>
        <w:t xml:space="preserve"> 37.4重新组建评审委员会的情形</w:t>
      </w:r>
    </w:p>
    <w:p>
      <w:pPr>
        <w:spacing w:line="360" w:lineRule="auto"/>
        <w:ind w:firstLine="412" w:firstLineChars="196"/>
        <w:rPr>
          <w:rFonts w:asciiTheme="majorEastAsia" w:eastAsiaTheme="majorEastAsia" w:hAnsiTheme="majorEastAsia" w:cs="宋体"/>
          <w:szCs w:val="21"/>
        </w:rPr>
      </w:pPr>
      <w:r>
        <w:rPr>
          <w:rFonts w:asciiTheme="majorEastAsia" w:eastAsiaTheme="majorEastAsia" w:hAnsiTheme="majorEastAsia" w:cs="宋体" w:hint="eastAsia"/>
          <w:szCs w:val="21"/>
        </w:rPr>
        <w:t>评审委员会或者其成员存在下列情形导致评审结果无效的，重新组建评审委员会进行评标，并书面报告本级财政部门：</w:t>
      </w:r>
    </w:p>
    <w:p>
      <w:pPr>
        <w:spacing w:line="360" w:lineRule="auto"/>
        <w:ind w:firstLine="412" w:firstLineChars="196"/>
        <w:rPr>
          <w:rFonts w:asciiTheme="majorEastAsia" w:eastAsiaTheme="majorEastAsia" w:hAnsiTheme="majorEastAsia" w:cs="宋体"/>
          <w:szCs w:val="21"/>
        </w:rPr>
      </w:pPr>
      <w:r>
        <w:rPr>
          <w:rFonts w:asciiTheme="majorEastAsia" w:eastAsiaTheme="majorEastAsia" w:hAnsiTheme="majorEastAsia" w:cs="宋体" w:hint="eastAsia"/>
          <w:szCs w:val="21"/>
        </w:rPr>
        <w:t>37.4.1评审委员会组成不符合《政府采购货物和服务招标投标管理办法》规定的；</w:t>
      </w:r>
    </w:p>
    <w:p>
      <w:pPr>
        <w:spacing w:line="360" w:lineRule="auto"/>
        <w:ind w:firstLine="412" w:firstLineChars="196"/>
        <w:rPr>
          <w:rFonts w:asciiTheme="majorEastAsia" w:eastAsiaTheme="majorEastAsia" w:hAnsiTheme="majorEastAsia" w:cs="宋体"/>
          <w:szCs w:val="21"/>
        </w:rPr>
      </w:pPr>
      <w:r>
        <w:rPr>
          <w:rFonts w:asciiTheme="majorEastAsia" w:eastAsiaTheme="majorEastAsia" w:hAnsiTheme="majorEastAsia" w:cs="宋体" w:hint="eastAsia"/>
          <w:szCs w:val="21"/>
        </w:rPr>
        <w:t>37.4.2有《政府采购货物和服务招标投标管理办法》第六十二条第一至五项情形的；</w:t>
      </w:r>
    </w:p>
    <w:p>
      <w:pPr>
        <w:spacing w:line="360" w:lineRule="auto"/>
        <w:ind w:firstLine="412" w:firstLineChars="196"/>
        <w:rPr>
          <w:rFonts w:asciiTheme="majorEastAsia" w:eastAsiaTheme="majorEastAsia" w:hAnsiTheme="majorEastAsia" w:cs="宋体"/>
          <w:szCs w:val="21"/>
        </w:rPr>
      </w:pPr>
      <w:r>
        <w:rPr>
          <w:rFonts w:asciiTheme="majorEastAsia" w:eastAsiaTheme="majorEastAsia" w:hAnsiTheme="majorEastAsia" w:cs="宋体" w:hint="eastAsia"/>
          <w:szCs w:val="21"/>
        </w:rPr>
        <w:t>37.4.3评审委员会及其成员独立评标受到非法干预的；</w:t>
      </w:r>
    </w:p>
    <w:p>
      <w:pPr>
        <w:spacing w:line="360" w:lineRule="auto"/>
        <w:ind w:firstLine="412" w:firstLineChars="196"/>
        <w:rPr>
          <w:rFonts w:asciiTheme="majorEastAsia" w:eastAsiaTheme="majorEastAsia" w:hAnsiTheme="majorEastAsia" w:cs="宋体"/>
          <w:szCs w:val="21"/>
        </w:rPr>
      </w:pPr>
      <w:r>
        <w:rPr>
          <w:rFonts w:asciiTheme="majorEastAsia" w:eastAsiaTheme="majorEastAsia" w:hAnsiTheme="majorEastAsia" w:cs="宋体" w:hint="eastAsia"/>
          <w:szCs w:val="21"/>
        </w:rPr>
        <w:t>37.4.4有政府采购法实施条例第七十五条规定的违法行为的。</w:t>
      </w:r>
    </w:p>
    <w:p>
      <w:pPr>
        <w:spacing w:line="360" w:lineRule="auto"/>
        <w:ind w:firstLine="412" w:firstLineChars="196"/>
        <w:rPr>
          <w:rFonts w:asciiTheme="majorEastAsia" w:eastAsiaTheme="majorEastAsia" w:hAnsiTheme="majorEastAsia" w:cs="宋体"/>
          <w:szCs w:val="21"/>
        </w:rPr>
      </w:pPr>
      <w:r>
        <w:rPr>
          <w:rFonts w:asciiTheme="majorEastAsia" w:eastAsiaTheme="majorEastAsia" w:hAnsiTheme="majorEastAsia" w:cs="宋体" w:hint="eastAsia"/>
          <w:szCs w:val="21"/>
        </w:rPr>
        <w:t>有违法违规行为的原评审委员会成员不得参加重新组建的评审委员会。</w:t>
      </w:r>
    </w:p>
    <w:p>
      <w:pPr>
        <w:keepNext/>
        <w:keepLines/>
        <w:widowControl/>
        <w:numPr>
          <w:ilvl w:val="0"/>
          <w:numId w:val="2"/>
        </w:numPr>
        <w:adjustRightInd w:val="0"/>
        <w:spacing w:before="156" w:beforeLines="50" w:after="156" w:afterLines="50" w:line="360" w:lineRule="auto"/>
        <w:ind w:left="562" w:hanging="562"/>
        <w:jc w:val="center"/>
        <w:textAlignment w:val="baseline"/>
        <w:outlineLvl w:val="1"/>
        <w:rPr>
          <w:rFonts w:asciiTheme="majorEastAsia" w:eastAsiaTheme="majorEastAsia" w:hAnsiTheme="majorEastAsia"/>
          <w:b/>
          <w:bCs/>
          <w:kern w:val="0"/>
          <w:sz w:val="28"/>
          <w:szCs w:val="28"/>
        </w:rPr>
      </w:pPr>
      <w:r>
        <w:rPr>
          <w:rFonts w:asciiTheme="majorEastAsia" w:eastAsiaTheme="majorEastAsia" w:hAnsiTheme="majorEastAsia" w:hint="eastAsia"/>
          <w:b/>
          <w:bCs/>
          <w:kern w:val="0"/>
          <w:sz w:val="28"/>
          <w:szCs w:val="28"/>
        </w:rPr>
        <w:t>定标及公示</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38．定标方法</w:t>
      </w:r>
    </w:p>
    <w:p>
      <w:pPr>
        <w:spacing w:line="360" w:lineRule="auto"/>
        <w:ind w:firstLine="412" w:firstLineChars="196"/>
        <w:rPr>
          <w:rFonts w:asciiTheme="majorEastAsia" w:eastAsiaTheme="majorEastAsia" w:hAnsiTheme="majorEastAsia"/>
          <w:szCs w:val="21"/>
        </w:rPr>
      </w:pPr>
      <w:bookmarkStart w:id="50" w:name="_Hlk73782795"/>
      <w:r>
        <w:rPr>
          <w:rFonts w:asciiTheme="majorEastAsia" w:eastAsiaTheme="majorEastAsia" w:hAnsiTheme="majorEastAsia" w:hint="eastAsia"/>
          <w:szCs w:val="21"/>
        </w:rPr>
        <w:t>38.1非评定分离项目定标方法</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38</w:t>
      </w:r>
      <w:r>
        <w:rPr>
          <w:rFonts w:asciiTheme="majorEastAsia" w:eastAsiaTheme="majorEastAsia" w:hAnsiTheme="majorEastAsia"/>
          <w:szCs w:val="21"/>
        </w:rPr>
        <w:t>.</w:t>
      </w:r>
      <w:r>
        <w:rPr>
          <w:rFonts w:asciiTheme="majorEastAsia" w:eastAsiaTheme="majorEastAsia" w:hAnsiTheme="majorEastAsia" w:hint="eastAsia"/>
          <w:szCs w:val="21"/>
        </w:rPr>
        <w:t>1.1评审委员会依据本项目招标文件所约定的评审方法进行评审和比较，向采购代理机构提交书面评审报告，并根据评审方法比较评价结果从优到劣进行排序，确定候选中标供应商。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38</w:t>
      </w:r>
      <w:r>
        <w:rPr>
          <w:rFonts w:asciiTheme="majorEastAsia" w:eastAsiaTheme="majorEastAsia" w:hAnsiTheme="majorEastAsia"/>
          <w:szCs w:val="21"/>
        </w:rPr>
        <w:t>.</w:t>
      </w:r>
      <w:r>
        <w:rPr>
          <w:rFonts w:asciiTheme="majorEastAsia" w:eastAsiaTheme="majorEastAsia" w:hAnsiTheme="majorEastAsia" w:hint="eastAsia"/>
          <w:szCs w:val="21"/>
        </w:rPr>
        <w:t>1.2</w:t>
      </w:r>
      <w:r>
        <w:rPr>
          <w:rFonts w:asciiTheme="majorEastAsia" w:eastAsiaTheme="majorEastAsia" w:hAnsiTheme="majorEastAsia"/>
          <w:szCs w:val="21"/>
        </w:rPr>
        <w:t>采用最低价法的，评</w:t>
      </w:r>
      <w:r>
        <w:rPr>
          <w:rFonts w:asciiTheme="majorEastAsia" w:eastAsiaTheme="majorEastAsia" w:hAnsiTheme="majorEastAsia" w:hint="eastAsia"/>
          <w:szCs w:val="21"/>
        </w:rPr>
        <w:t>审</w:t>
      </w:r>
      <w:r>
        <w:rPr>
          <w:rFonts w:asciiTheme="majorEastAsia" w:eastAsiaTheme="majorEastAsia" w:hAnsiTheme="majorEastAsia"/>
          <w:szCs w:val="21"/>
        </w:rPr>
        <w:t>结果按投标报价由低到高顺序排列。投标报价相同的并列。投标文件满足招标文件全部实质性要求且投标报价最低的</w:t>
      </w:r>
      <w:r>
        <w:rPr>
          <w:rFonts w:asciiTheme="majorEastAsia" w:eastAsiaTheme="majorEastAsia" w:hAnsiTheme="majorEastAsia" w:hint="eastAsia"/>
          <w:szCs w:val="21"/>
        </w:rPr>
        <w:t>投标人为</w:t>
      </w:r>
      <w:bookmarkStart w:id="51" w:name="_Hlk73821177"/>
      <w:r>
        <w:rPr>
          <w:rFonts w:asciiTheme="majorEastAsia" w:eastAsiaTheme="majorEastAsia" w:hAnsiTheme="majorEastAsia" w:hint="eastAsia"/>
          <w:szCs w:val="21"/>
        </w:rPr>
        <w:t>中标供应商</w:t>
      </w:r>
      <w:r>
        <w:rPr>
          <w:rFonts w:asciiTheme="majorEastAsia" w:eastAsiaTheme="majorEastAsia" w:hAnsiTheme="majorEastAsia"/>
          <w:szCs w:val="21"/>
        </w:rPr>
        <w:t>（</w:t>
      </w:r>
      <w:r>
        <w:rPr>
          <w:rFonts w:asciiTheme="majorEastAsia" w:eastAsiaTheme="majorEastAsia" w:hAnsiTheme="majorEastAsia" w:hint="eastAsia"/>
          <w:szCs w:val="21"/>
        </w:rPr>
        <w:t>排名</w:t>
      </w:r>
      <w:r>
        <w:rPr>
          <w:rFonts w:asciiTheme="majorEastAsia" w:eastAsiaTheme="majorEastAsia" w:hAnsiTheme="majorEastAsia"/>
          <w:szCs w:val="21"/>
        </w:rPr>
        <w:t>第二</w:t>
      </w:r>
      <w:r>
        <w:rPr>
          <w:rFonts w:asciiTheme="majorEastAsia" w:eastAsiaTheme="majorEastAsia" w:hAnsiTheme="majorEastAsia" w:hint="eastAsia"/>
          <w:szCs w:val="21"/>
        </w:rPr>
        <w:t>的投标人为第一替补中标候选人、排名</w:t>
      </w:r>
      <w:r>
        <w:rPr>
          <w:rFonts w:asciiTheme="majorEastAsia" w:eastAsiaTheme="majorEastAsia" w:hAnsiTheme="majorEastAsia"/>
          <w:szCs w:val="21"/>
        </w:rPr>
        <w:t>第</w:t>
      </w:r>
      <w:r>
        <w:rPr>
          <w:rFonts w:asciiTheme="majorEastAsia" w:eastAsiaTheme="majorEastAsia" w:hAnsiTheme="majorEastAsia" w:hint="eastAsia"/>
          <w:szCs w:val="21"/>
        </w:rPr>
        <w:t>三的投标人为第二替补中标候选人</w:t>
      </w:r>
      <w:bookmarkEnd w:id="51"/>
      <w:r>
        <w:rPr>
          <w:rFonts w:asciiTheme="majorEastAsia" w:eastAsiaTheme="majorEastAsia" w:hAnsiTheme="majorEastAsia"/>
          <w:szCs w:val="21"/>
        </w:rPr>
        <w:t>）。</w:t>
      </w:r>
    </w:p>
    <w:p>
      <w:pPr>
        <w:spacing w:line="360" w:lineRule="auto"/>
        <w:ind w:firstLine="412" w:firstLineChars="196"/>
        <w:rPr>
          <w:rFonts w:asciiTheme="majorEastAsia" w:eastAsiaTheme="majorEastAsia" w:hAnsiTheme="majorEastAsia" w:hint="eastAsia"/>
          <w:szCs w:val="21"/>
        </w:rPr>
      </w:pPr>
      <w:r>
        <w:rPr>
          <w:rFonts w:asciiTheme="majorEastAsia" w:eastAsiaTheme="majorEastAsia" w:hAnsiTheme="majorEastAsia" w:hint="eastAsia"/>
          <w:szCs w:val="21"/>
        </w:rPr>
        <w:t>38</w:t>
      </w:r>
      <w:r>
        <w:rPr>
          <w:rFonts w:asciiTheme="majorEastAsia" w:eastAsiaTheme="majorEastAsia" w:hAnsiTheme="majorEastAsia"/>
          <w:szCs w:val="21"/>
        </w:rPr>
        <w:t>.</w:t>
      </w:r>
      <w:r>
        <w:rPr>
          <w:rFonts w:asciiTheme="majorEastAsia" w:eastAsiaTheme="majorEastAsia" w:hAnsiTheme="majorEastAsia" w:hint="eastAsia"/>
          <w:szCs w:val="21"/>
        </w:rPr>
        <w:t>1.3</w:t>
      </w:r>
      <w:r>
        <w:rPr>
          <w:rFonts w:asciiTheme="majorEastAsia" w:eastAsiaTheme="majorEastAsia" w:hAnsiTheme="majorEastAsia"/>
          <w:szCs w:val="21"/>
        </w:rPr>
        <w:t>采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w:t>
      </w:r>
      <w:r>
        <w:rPr>
          <w:rFonts w:asciiTheme="majorEastAsia" w:eastAsiaTheme="majorEastAsia" w:hAnsiTheme="majorEastAsia" w:hint="eastAsia"/>
          <w:szCs w:val="21"/>
        </w:rPr>
        <w:t>为中标供应商</w:t>
      </w:r>
      <w:r>
        <w:rPr>
          <w:rFonts w:asciiTheme="majorEastAsia" w:eastAsiaTheme="majorEastAsia" w:hAnsiTheme="majorEastAsia"/>
          <w:szCs w:val="21"/>
        </w:rPr>
        <w:t>（</w:t>
      </w:r>
      <w:r>
        <w:rPr>
          <w:rFonts w:asciiTheme="majorEastAsia" w:eastAsiaTheme="majorEastAsia" w:hAnsiTheme="majorEastAsia" w:hint="eastAsia"/>
          <w:szCs w:val="21"/>
        </w:rPr>
        <w:t>中标候选人如不止一名，则推选排名</w:t>
      </w:r>
      <w:r>
        <w:rPr>
          <w:rFonts w:asciiTheme="majorEastAsia" w:eastAsiaTheme="majorEastAsia" w:hAnsiTheme="majorEastAsia"/>
          <w:szCs w:val="21"/>
        </w:rPr>
        <w:t>第二</w:t>
      </w:r>
      <w:r>
        <w:rPr>
          <w:rFonts w:asciiTheme="majorEastAsia" w:eastAsiaTheme="majorEastAsia" w:hAnsiTheme="majorEastAsia" w:hint="eastAsia"/>
          <w:szCs w:val="21"/>
        </w:rPr>
        <w:t>的投标人为第一替补中标候选人、排名</w:t>
      </w:r>
      <w:r>
        <w:rPr>
          <w:rFonts w:asciiTheme="majorEastAsia" w:eastAsiaTheme="majorEastAsia" w:hAnsiTheme="majorEastAsia"/>
          <w:szCs w:val="21"/>
        </w:rPr>
        <w:t>第</w:t>
      </w:r>
      <w:r>
        <w:rPr>
          <w:rFonts w:asciiTheme="majorEastAsia" w:eastAsiaTheme="majorEastAsia" w:hAnsiTheme="majorEastAsia" w:hint="eastAsia"/>
          <w:szCs w:val="21"/>
        </w:rPr>
        <w:t>三的投标人为第二替补中标候选人</w:t>
      </w:r>
      <w:r>
        <w:rPr>
          <w:rFonts w:asciiTheme="majorEastAsia" w:eastAsiaTheme="majorEastAsia" w:hAnsiTheme="majorEastAsia"/>
          <w:szCs w:val="21"/>
        </w:rPr>
        <w:t>）。</w:t>
      </w:r>
      <w:r>
        <w:rPr>
          <w:rFonts w:asciiTheme="majorEastAsia" w:eastAsiaTheme="majorEastAsia" w:hAnsiTheme="majorEastAsia" w:hint="eastAsia"/>
          <w:szCs w:val="21"/>
        </w:rPr>
        <w:t>出现</w:t>
      </w:r>
      <w:r>
        <w:rPr>
          <w:rFonts w:asciiTheme="majorEastAsia" w:eastAsiaTheme="majorEastAsia" w:hAnsiTheme="majorEastAsia"/>
          <w:szCs w:val="21"/>
        </w:rPr>
        <w:t>得分且投标报价相同的并列</w:t>
      </w:r>
      <w:r>
        <w:rPr>
          <w:rFonts w:asciiTheme="majorEastAsia" w:eastAsiaTheme="majorEastAsia" w:hAnsiTheme="majorEastAsia" w:hint="eastAsia"/>
          <w:szCs w:val="21"/>
        </w:rPr>
        <w:t>情况时，采取随机抽取的方式确定，具体操作办法及流程由评审委员会确定（因落实政府采购政策进行价格调整的，以调整后的价格计算投标报价）。</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38.2评定分离项目定标方法</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38.2.1评定分离是指在政府集中采购程序中，以公开招标方式执行采购，评审委员会负责对投标文件进行评审、推荐候选中标供应商并出具书面评审报告，由采购人根据评审委员会出具的评审报告从推荐的候选中标供应商中确定中标供应商。单个项目需要确定多家中标供应商的，不适用评定分离。</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 xml:space="preserve">38.2.2 </w:t>
      </w:r>
      <w:bookmarkStart w:id="52" w:name="_Hlk71469733"/>
      <w:r>
        <w:rPr>
          <w:rFonts w:asciiTheme="majorEastAsia" w:eastAsiaTheme="majorEastAsia" w:hAnsiTheme="majorEastAsia"/>
          <w:szCs w:val="21"/>
        </w:rPr>
        <w:t>适用评定分离的政府采购项目，采用综合评分法评</w:t>
      </w:r>
      <w:r>
        <w:rPr>
          <w:rFonts w:asciiTheme="majorEastAsia" w:eastAsiaTheme="majorEastAsia" w:hAnsiTheme="majorEastAsia" w:hint="eastAsia"/>
          <w:szCs w:val="21"/>
        </w:rPr>
        <w:t>审。评审委员会按照评审结果，推荐</w:t>
      </w:r>
      <w:r>
        <w:rPr>
          <w:rFonts w:asciiTheme="majorEastAsia" w:eastAsiaTheme="majorEastAsia" w:hAnsiTheme="majorEastAsia"/>
          <w:szCs w:val="21"/>
        </w:rPr>
        <w:t>三个合格的候选中标供应商。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38.2.3</w:t>
      </w:r>
      <w:bookmarkStart w:id="53" w:name="_Hlk71469688"/>
      <w:r>
        <w:rPr>
          <w:rFonts w:asciiTheme="majorEastAsia" w:eastAsiaTheme="majorEastAsia" w:hAnsiTheme="majorEastAsia"/>
          <w:szCs w:val="21"/>
        </w:rPr>
        <w:t>适用评定分离的政府采购项目，</w:t>
      </w:r>
      <w:r>
        <w:rPr>
          <w:rFonts w:asciiTheme="majorEastAsia" w:eastAsiaTheme="majorEastAsia" w:hAnsiTheme="majorEastAsia" w:hint="eastAsia"/>
          <w:szCs w:val="21"/>
        </w:rPr>
        <w:t>按照自定法确定中标供应商：自定法是指采购人组织定标委员会，由定标委员会在三家候选中标供应商中确定中标供应商。</w:t>
      </w:r>
      <w:bookmarkEnd w:id="52"/>
      <w:bookmarkEnd w:id="53"/>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38.2.4</w:t>
      </w:r>
      <w:r>
        <w:rPr>
          <w:rFonts w:asciiTheme="majorEastAsia" w:eastAsiaTheme="majorEastAsia" w:hAnsiTheme="majorEastAsia" w:hint="eastAsia"/>
          <w:szCs w:val="21"/>
        </w:rPr>
        <w:t>采购代理机构</w:t>
      </w:r>
      <w:r>
        <w:rPr>
          <w:rFonts w:asciiTheme="majorEastAsia" w:eastAsiaTheme="majorEastAsia" w:hAnsiTheme="majorEastAsia"/>
          <w:szCs w:val="21"/>
        </w:rPr>
        <w:t>应当自评审结束之日起两个工作日内将候选中标供应商名单及其投标文件、评审报告送交采购人</w:t>
      </w:r>
      <w:r>
        <w:rPr>
          <w:rFonts w:asciiTheme="majorEastAsia" w:eastAsiaTheme="majorEastAsia" w:hAnsiTheme="majorEastAsia" w:hint="eastAsia"/>
          <w:szCs w:val="21"/>
        </w:rPr>
        <w:t>。</w:t>
      </w:r>
      <w:r>
        <w:rPr>
          <w:rFonts w:asciiTheme="majorEastAsia" w:eastAsiaTheme="majorEastAsia" w:hAnsiTheme="majorEastAsia"/>
          <w:szCs w:val="21"/>
        </w:rPr>
        <w:t>采购人应当安排专人对定标过程进行书面记录，形成定标报告，作为采购文件的组成部分存档，并及时将定标结果反馈</w:t>
      </w:r>
      <w:r>
        <w:rPr>
          <w:rFonts w:asciiTheme="majorEastAsia" w:eastAsiaTheme="majorEastAsia" w:hAnsiTheme="majorEastAsia" w:hint="eastAsia"/>
          <w:szCs w:val="21"/>
        </w:rPr>
        <w:t>采购代理机构。具体定标程序及相关要求以按照《</w:t>
      </w:r>
      <w:r>
        <w:rPr>
          <w:rFonts w:asciiTheme="majorEastAsia" w:eastAsiaTheme="majorEastAsia" w:hAnsiTheme="majorEastAsia"/>
          <w:szCs w:val="21"/>
        </w:rPr>
        <w:t>深圳市财政局关于印发</w:t>
      </w:r>
      <w:r>
        <w:rPr>
          <w:rFonts w:asciiTheme="majorEastAsia" w:eastAsiaTheme="majorEastAsia" w:hAnsiTheme="majorEastAsia" w:hint="eastAsia"/>
          <w:szCs w:val="21"/>
        </w:rPr>
        <w:t>〈</w:t>
      </w:r>
      <w:r>
        <w:rPr>
          <w:rFonts w:asciiTheme="majorEastAsia" w:eastAsiaTheme="majorEastAsia" w:hAnsiTheme="majorEastAsia"/>
          <w:szCs w:val="21"/>
        </w:rPr>
        <w:t>深圳市政府采购评标定标分离管理办法</w:t>
      </w:r>
      <w:r>
        <w:rPr>
          <w:rFonts w:asciiTheme="majorEastAsia" w:eastAsiaTheme="majorEastAsia" w:hAnsiTheme="majorEastAsia" w:hint="eastAsia"/>
          <w:szCs w:val="21"/>
        </w:rPr>
        <w:t>〉</w:t>
      </w:r>
      <w:r>
        <w:rPr>
          <w:rFonts w:asciiTheme="majorEastAsia" w:eastAsiaTheme="majorEastAsia" w:hAnsiTheme="majorEastAsia"/>
          <w:szCs w:val="21"/>
        </w:rPr>
        <w:t>的通知</w:t>
      </w:r>
      <w:r>
        <w:rPr>
          <w:rFonts w:asciiTheme="majorEastAsia" w:eastAsiaTheme="majorEastAsia" w:hAnsiTheme="majorEastAsia" w:hint="eastAsia"/>
          <w:szCs w:val="21"/>
        </w:rPr>
        <w:t>》（深财规【2</w:t>
      </w:r>
      <w:r>
        <w:rPr>
          <w:rFonts w:asciiTheme="majorEastAsia" w:eastAsiaTheme="majorEastAsia" w:hAnsiTheme="majorEastAsia"/>
          <w:szCs w:val="21"/>
        </w:rPr>
        <w:t>020</w:t>
      </w:r>
      <w:r>
        <w:rPr>
          <w:rFonts w:asciiTheme="majorEastAsia" w:eastAsiaTheme="majorEastAsia" w:hAnsiTheme="majorEastAsia" w:hint="eastAsia"/>
          <w:szCs w:val="21"/>
        </w:rPr>
        <w:t>】1号）执行。</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说明：采购人及投标供应商应按照上述方法提前做好相关准备。</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38.3专用条款另有规定的，按专用条款相关要求定标。</w:t>
      </w:r>
      <w:bookmarkEnd w:id="50"/>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39．编写评审报告</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评审报告是评审委员会根据全体评标成员签字的原始评审记录和评审结果编写的报告，评审报告由评审委员会全体成员签字。对评审结论持有异议的评审委员会成员可以书面方式阐述其不同意见和理由。评审委员会成员拒绝在评审报告上签字且不陈述其不同意见和理由的，视为同意评审结论。评审委员会应当对此作出书面说明并记录存档。</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40．中标公告</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40.1</w:t>
      </w:r>
      <w:bookmarkStart w:id="54" w:name="_Hlk72438709"/>
      <w:r>
        <w:rPr>
          <w:rFonts w:asciiTheme="majorEastAsia" w:eastAsiaTheme="majorEastAsia" w:hAnsiTheme="majorEastAsia" w:hint="eastAsia"/>
          <w:szCs w:val="21"/>
        </w:rPr>
        <w:t>为体现“公开、公平、公正”的原则，评审结束后经采购人确认（确定）评审结果，采购代理机构将在“深圳政府采购智慧平台（http://zfcg.szggzy.com/）”上发布中标结果公告。</w:t>
      </w:r>
      <w:bookmarkEnd w:id="54"/>
      <w:bookmarkStart w:id="55" w:name="_Hlk72438751"/>
      <w:r>
        <w:rPr>
          <w:rFonts w:asciiTheme="majorEastAsia" w:eastAsiaTheme="majorEastAsia" w:hAnsiTheme="majorEastAsia" w:hint="eastAsia"/>
          <w:szCs w:val="21"/>
        </w:rPr>
        <w:t>供应商如对评审结果有异议，</w:t>
      </w:r>
      <w:r>
        <w:rPr>
          <w:rFonts w:asciiTheme="majorEastAsia" w:eastAsiaTheme="majorEastAsia" w:hAnsiTheme="majorEastAsia"/>
          <w:szCs w:val="21"/>
        </w:rPr>
        <w:t>可在发布公示日期起</w:t>
      </w:r>
      <w:r>
        <w:rPr>
          <w:rFonts w:asciiTheme="majorEastAsia" w:eastAsiaTheme="majorEastAsia" w:hAnsiTheme="majorEastAsia" w:hint="eastAsia"/>
          <w:szCs w:val="21"/>
        </w:rPr>
        <w:t>七</w:t>
      </w:r>
      <w:r>
        <w:rPr>
          <w:rFonts w:asciiTheme="majorEastAsia" w:eastAsiaTheme="majorEastAsia" w:hAnsiTheme="majorEastAsia"/>
          <w:szCs w:val="21"/>
        </w:rPr>
        <w:t>个工作日内向</w:t>
      </w:r>
      <w:r>
        <w:rPr>
          <w:rFonts w:asciiTheme="majorEastAsia" w:eastAsiaTheme="majorEastAsia" w:hAnsiTheme="majorEastAsia" w:hint="eastAsia"/>
          <w:szCs w:val="21"/>
        </w:rPr>
        <w:t>采购代理机构</w:t>
      </w:r>
      <w:r>
        <w:rPr>
          <w:rFonts w:asciiTheme="majorEastAsia" w:eastAsiaTheme="majorEastAsia" w:hAnsiTheme="majorEastAsia"/>
          <w:szCs w:val="21"/>
        </w:rPr>
        <w:t>提出。 监督电话：0755-83948143。</w:t>
      </w:r>
      <w:r>
        <w:rPr>
          <w:rFonts w:asciiTheme="majorEastAsia" w:eastAsiaTheme="majorEastAsia" w:hAnsiTheme="majorEastAsia" w:hint="eastAsia"/>
          <w:szCs w:val="21"/>
        </w:rPr>
        <w:t>若在公示期内未提出质疑，则视为认同该评审结果。</w:t>
      </w:r>
    </w:p>
    <w:p>
      <w:pPr>
        <w:spacing w:line="360" w:lineRule="auto"/>
        <w:ind w:firstLine="412" w:firstLineChars="196"/>
        <w:rPr>
          <w:rFonts w:asciiTheme="majorEastAsia" w:eastAsiaTheme="majorEastAsia" w:hAnsiTheme="majorEastAsia"/>
          <w:szCs w:val="21"/>
        </w:rPr>
      </w:pPr>
      <w:bookmarkEnd w:id="55"/>
      <w:r>
        <w:rPr>
          <w:rFonts w:asciiTheme="majorEastAsia" w:eastAsiaTheme="majorEastAsia" w:hAnsiTheme="majorEastAsia" w:hint="eastAsia"/>
          <w:szCs w:val="21"/>
        </w:rPr>
        <w:t>40.2质疑、投诉供应商应保证质疑、投诉内容的真实性和可靠性，并承担相应的法律责任。</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41．中标通知书</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41</w:t>
      </w:r>
      <w:r>
        <w:rPr>
          <w:rFonts w:asciiTheme="majorEastAsia" w:eastAsiaTheme="majorEastAsia" w:hAnsiTheme="majorEastAsia"/>
          <w:szCs w:val="21"/>
        </w:rPr>
        <w:t>.</w:t>
      </w:r>
      <w:r>
        <w:rPr>
          <w:rFonts w:asciiTheme="majorEastAsia" w:eastAsiaTheme="majorEastAsia" w:hAnsiTheme="majorEastAsia" w:hint="eastAsia"/>
          <w:szCs w:val="21"/>
        </w:rPr>
        <w:t>1</w:t>
      </w:r>
      <w:bookmarkStart w:id="56" w:name="_Hlk72438863"/>
      <w:r>
        <w:rPr>
          <w:rFonts w:asciiTheme="majorEastAsia" w:eastAsiaTheme="majorEastAsia" w:hAnsiTheme="majorEastAsia" w:hint="eastAsia"/>
          <w:szCs w:val="21"/>
        </w:rPr>
        <w:t>中标公告公布以后无异常的情况下,采购代理机构将向中标供应商和采购人发出中标通知书。</w:t>
      </w:r>
      <w:bookmarkEnd w:id="56"/>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41</w:t>
      </w:r>
      <w:r>
        <w:rPr>
          <w:rFonts w:asciiTheme="majorEastAsia" w:eastAsiaTheme="majorEastAsia" w:hAnsiTheme="majorEastAsia"/>
          <w:szCs w:val="21"/>
        </w:rPr>
        <w:t>.2</w:t>
      </w:r>
      <w:r>
        <w:rPr>
          <w:rFonts w:asciiTheme="majorEastAsia" w:eastAsiaTheme="majorEastAsia" w:hAnsiTheme="majorEastAsia" w:hint="eastAsia"/>
          <w:szCs w:val="21"/>
        </w:rPr>
        <w:t>中标通知书是合同的重要组成部分。</w:t>
      </w:r>
    </w:p>
    <w:p>
      <w:pPr>
        <w:spacing w:line="360" w:lineRule="auto"/>
        <w:ind w:firstLine="412" w:firstLineChars="196"/>
        <w:rPr>
          <w:rFonts w:asciiTheme="majorEastAsia" w:eastAsiaTheme="majorEastAsia" w:hAnsiTheme="majorEastAsia"/>
          <w:szCs w:val="21"/>
        </w:rPr>
      </w:pPr>
      <w:bookmarkStart w:id="57" w:name="_Hlk71407340"/>
      <w:r>
        <w:rPr>
          <w:rFonts w:asciiTheme="majorEastAsia" w:eastAsiaTheme="majorEastAsia" w:hAnsiTheme="majorEastAsia" w:hint="eastAsia"/>
          <w:szCs w:val="21"/>
        </w:rPr>
        <w:t>41.3因质疑投诉或其它原因导致项目结果变更或采购终止的，采购代理机构有权吊销中标通知书。</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41.4中标服务费</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中标人须在中标公告公示期结束后，向采购代理机构缴纳中标服务费。中标服务费收费标准根据《深圳市财政委员会关于规范深圳市社会采购代理机构的管理有关事项的补充通知（深财购[2018]27号）》文件相关规定，按照差额定率累进法计算。具体收费标准详见下表：</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2802"/>
        <w:gridCol w:w="2027"/>
        <w:gridCol w:w="2158"/>
        <w:gridCol w:w="2158"/>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1262"/>
          <w:jc w:val="center"/>
        </w:trPr>
        <w:tc>
          <w:tcPr>
            <w:tcW w:w="2802" w:type="dxa"/>
          </w:tcPr>
          <w:p>
            <w:pPr>
              <w:spacing w:line="360" w:lineRule="auto"/>
              <w:ind w:firstLine="1630" w:firstLineChars="776"/>
              <w:rPr>
                <w:rFonts w:asciiTheme="majorEastAsia" w:eastAsiaTheme="majorEastAsia" w:hAnsiTheme="majorEastAsia"/>
                <w:b/>
                <w:szCs w:val="21"/>
              </w:rPr>
            </w:pPr>
            <w:r>
              <w:rPr>
                <w:rFonts w:asciiTheme="majorEastAsia" w:eastAsiaTheme="majorEastAsia" w:hAnsiTheme="majorEastAsia"/>
                <w:szCs w:val="21"/>
              </w:rPr>
              <w:pict>
                <v:line id="直接连接符 7" o:spid="_x0000_s1026" style="flip:x y;mso-height-relative:page;mso-width-relative:page;position:absolute;z-index:251660288" from="-1.5pt,34.35pt" to="135pt,65.4pt" coordsize="21600,21600" o:allowincell="f" stroked="t">
                  <v:stroke joinstyle="round"/>
                  <o:lock v:ext="edit" aspectratio="f"/>
                </v:line>
              </w:pict>
            </w:r>
            <w:r>
              <w:rPr>
                <w:rFonts w:asciiTheme="majorEastAsia" w:eastAsiaTheme="majorEastAsia" w:hAnsiTheme="majorEastAsia"/>
                <w:szCs w:val="21"/>
              </w:rPr>
              <w:pict>
                <v:line id="直接连接符 6" o:spid="_x0000_s1027" style="flip:x y;mso-height-relative:page;mso-width-relative:page;position:absolute;z-index:251659264" from="30.9pt,2.5pt" to="135pt,65.4pt" coordsize="21600,21600" o:allowincell="f" stroked="t">
                  <v:stroke joinstyle="round"/>
                  <o:lock v:ext="edit" aspectratio="f"/>
                </v:line>
              </w:pict>
            </w:r>
            <w:r>
              <w:rPr>
                <w:rFonts w:asciiTheme="majorEastAsia" w:eastAsiaTheme="majorEastAsia" w:hAnsiTheme="majorEastAsia"/>
                <w:szCs w:val="21"/>
              </w:rPr>
              <w:pict>
                <v:line id="直接连接符 5" o:spid="_x0000_s1028" style="mso-height-relative:page;mso-width-relative:page;position:absolute;z-index:251661312" from="-9pt,-0.5pt" to="-8.95pt,-0.5pt" coordsize="21600,21600" o:allowincell="f" stroked="t">
                  <v:stroke joinstyle="round"/>
                  <o:lock v:ext="edit" aspectratio="f"/>
                </v:line>
              </w:pict>
            </w:r>
            <w:r>
              <w:rPr>
                <w:rFonts w:asciiTheme="majorEastAsia" w:eastAsiaTheme="majorEastAsia" w:hAnsiTheme="majorEastAsia" w:hint="eastAsia"/>
                <w:b/>
                <w:szCs w:val="21"/>
              </w:rPr>
              <w:t>服务类型</w:t>
            </w:r>
          </w:p>
          <w:p>
            <w:pPr>
              <w:spacing w:line="360" w:lineRule="auto"/>
              <w:ind w:firstLine="634" w:firstLineChars="302"/>
              <w:rPr>
                <w:rFonts w:asciiTheme="majorEastAsia" w:eastAsiaTheme="majorEastAsia" w:hAnsiTheme="majorEastAsia"/>
                <w:b/>
                <w:szCs w:val="21"/>
              </w:rPr>
            </w:pPr>
            <w:r>
              <w:rPr>
                <w:rFonts w:asciiTheme="majorEastAsia" w:eastAsiaTheme="majorEastAsia" w:hAnsiTheme="majorEastAsia" w:hint="eastAsia"/>
                <w:b/>
                <w:szCs w:val="21"/>
              </w:rPr>
              <w:t>费率　　　　　</w:t>
            </w:r>
          </w:p>
          <w:p>
            <w:pPr>
              <w:spacing w:line="360" w:lineRule="auto"/>
              <w:rPr>
                <w:rFonts w:asciiTheme="majorEastAsia" w:eastAsiaTheme="majorEastAsia" w:hAnsiTheme="majorEastAsia"/>
                <w:b/>
                <w:szCs w:val="21"/>
              </w:rPr>
            </w:pPr>
            <w:r>
              <w:rPr>
                <w:rFonts w:asciiTheme="majorEastAsia" w:eastAsiaTheme="majorEastAsia" w:hAnsiTheme="majorEastAsia" w:hint="eastAsia"/>
                <w:b/>
                <w:szCs w:val="21"/>
              </w:rPr>
              <w:t>中标金额（万元）</w:t>
            </w:r>
          </w:p>
        </w:tc>
        <w:tc>
          <w:tcPr>
            <w:tcW w:w="2027" w:type="dxa"/>
            <w:vAlign w:val="center"/>
          </w:tcPr>
          <w:p>
            <w:pPr>
              <w:spacing w:line="360" w:lineRule="auto"/>
              <w:jc w:val="center"/>
              <w:rPr>
                <w:rFonts w:asciiTheme="majorEastAsia" w:eastAsiaTheme="majorEastAsia" w:hAnsiTheme="majorEastAsia"/>
                <w:b/>
                <w:szCs w:val="21"/>
              </w:rPr>
            </w:pPr>
            <w:r>
              <w:rPr>
                <w:rFonts w:asciiTheme="majorEastAsia" w:eastAsiaTheme="majorEastAsia" w:hAnsiTheme="majorEastAsia" w:hint="eastAsia"/>
                <w:b/>
                <w:szCs w:val="21"/>
              </w:rPr>
              <w:t>货物招标</w:t>
            </w:r>
          </w:p>
        </w:tc>
        <w:tc>
          <w:tcPr>
            <w:tcW w:w="2158" w:type="dxa"/>
            <w:vAlign w:val="center"/>
          </w:tcPr>
          <w:p>
            <w:pPr>
              <w:spacing w:line="360" w:lineRule="auto"/>
              <w:jc w:val="center"/>
              <w:rPr>
                <w:rFonts w:asciiTheme="majorEastAsia" w:eastAsiaTheme="majorEastAsia" w:hAnsiTheme="majorEastAsia"/>
                <w:b/>
                <w:szCs w:val="21"/>
              </w:rPr>
            </w:pPr>
            <w:r>
              <w:rPr>
                <w:rFonts w:asciiTheme="majorEastAsia" w:eastAsiaTheme="majorEastAsia" w:hAnsiTheme="majorEastAsia" w:hint="eastAsia"/>
                <w:b/>
                <w:szCs w:val="21"/>
              </w:rPr>
              <w:t>服务招标</w:t>
            </w:r>
          </w:p>
        </w:tc>
        <w:tc>
          <w:tcPr>
            <w:tcW w:w="2158" w:type="dxa"/>
            <w:vAlign w:val="center"/>
          </w:tcPr>
          <w:p>
            <w:pPr>
              <w:spacing w:line="360" w:lineRule="auto"/>
              <w:jc w:val="center"/>
              <w:rPr>
                <w:rFonts w:asciiTheme="majorEastAsia" w:eastAsiaTheme="majorEastAsia" w:hAnsiTheme="majorEastAsia"/>
                <w:b/>
                <w:szCs w:val="21"/>
              </w:rPr>
            </w:pPr>
            <w:r>
              <w:rPr>
                <w:rFonts w:asciiTheme="majorEastAsia" w:eastAsiaTheme="majorEastAsia" w:hAnsiTheme="majorEastAsia" w:hint="eastAsia"/>
                <w:b/>
                <w:szCs w:val="21"/>
              </w:rPr>
              <w:t>工程招标</w:t>
            </w:r>
          </w:p>
        </w:tc>
      </w:tr>
      <w:tr>
        <w:tblPrEx>
          <w:tblW w:w="0" w:type="auto"/>
          <w:jc w:val="center"/>
          <w:tblLayout w:type="fixed"/>
          <w:tblCellMar>
            <w:top w:w="0" w:type="dxa"/>
            <w:left w:w="108" w:type="dxa"/>
            <w:bottom w:w="0" w:type="dxa"/>
            <w:right w:w="108" w:type="dxa"/>
          </w:tblCellMar>
        </w:tblPrEx>
        <w:trPr>
          <w:trHeight w:val="401"/>
          <w:jc w:val="center"/>
        </w:trPr>
        <w:tc>
          <w:tcPr>
            <w:tcW w:w="2802"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100</w:t>
            </w:r>
            <w:r>
              <w:rPr>
                <w:rFonts w:asciiTheme="majorEastAsia" w:eastAsiaTheme="majorEastAsia" w:hAnsiTheme="majorEastAsia" w:hint="eastAsia"/>
                <w:szCs w:val="21"/>
              </w:rPr>
              <w:t>以下</w:t>
            </w:r>
          </w:p>
        </w:tc>
        <w:tc>
          <w:tcPr>
            <w:tcW w:w="2027"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1.500%</w:t>
            </w:r>
          </w:p>
        </w:tc>
        <w:tc>
          <w:tcPr>
            <w:tcW w:w="2158"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1.500%</w:t>
            </w:r>
          </w:p>
        </w:tc>
        <w:tc>
          <w:tcPr>
            <w:tcW w:w="2158" w:type="dxa"/>
            <w:vAlign w:val="center"/>
          </w:tcPr>
          <w:p>
            <w:pPr>
              <w:snapToGrid w:val="0"/>
              <w:spacing w:line="360" w:lineRule="auto"/>
              <w:jc w:val="center"/>
              <w:rPr>
                <w:rFonts w:asciiTheme="majorEastAsia" w:eastAsiaTheme="majorEastAsia" w:hAnsiTheme="majorEastAsia"/>
                <w:szCs w:val="21"/>
              </w:rPr>
            </w:pPr>
            <w:r>
              <w:rPr>
                <w:rFonts w:asciiTheme="majorEastAsia" w:eastAsiaTheme="majorEastAsia" w:hAnsiTheme="majorEastAsia" w:hint="eastAsia"/>
                <w:szCs w:val="21"/>
              </w:rPr>
              <w:t>1.000%</w:t>
            </w:r>
          </w:p>
        </w:tc>
      </w:tr>
      <w:tr>
        <w:tblPrEx>
          <w:tblW w:w="0" w:type="auto"/>
          <w:jc w:val="center"/>
          <w:tblLayout w:type="fixed"/>
          <w:tblCellMar>
            <w:top w:w="0" w:type="dxa"/>
            <w:left w:w="108" w:type="dxa"/>
            <w:bottom w:w="0" w:type="dxa"/>
            <w:right w:w="108" w:type="dxa"/>
          </w:tblCellMar>
        </w:tblPrEx>
        <w:trPr>
          <w:trHeight w:val="401"/>
          <w:jc w:val="center"/>
        </w:trPr>
        <w:tc>
          <w:tcPr>
            <w:tcW w:w="2802"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100</w:t>
            </w:r>
            <w:r>
              <w:rPr>
                <w:rFonts w:asciiTheme="majorEastAsia" w:eastAsiaTheme="majorEastAsia" w:hAnsiTheme="majorEastAsia" w:hint="eastAsia"/>
                <w:szCs w:val="21"/>
              </w:rPr>
              <w:t>～</w:t>
            </w:r>
            <w:r>
              <w:rPr>
                <w:rFonts w:asciiTheme="majorEastAsia" w:eastAsiaTheme="majorEastAsia" w:hAnsiTheme="majorEastAsia"/>
                <w:szCs w:val="21"/>
              </w:rPr>
              <w:t>500</w:t>
            </w:r>
          </w:p>
        </w:tc>
        <w:tc>
          <w:tcPr>
            <w:tcW w:w="2027"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1.100%</w:t>
            </w:r>
          </w:p>
        </w:tc>
        <w:tc>
          <w:tcPr>
            <w:tcW w:w="2158"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0.800%</w:t>
            </w:r>
          </w:p>
        </w:tc>
        <w:tc>
          <w:tcPr>
            <w:tcW w:w="2158" w:type="dxa"/>
            <w:vAlign w:val="center"/>
          </w:tcPr>
          <w:p>
            <w:pPr>
              <w:snapToGrid w:val="0"/>
              <w:spacing w:line="360" w:lineRule="auto"/>
              <w:jc w:val="center"/>
              <w:rPr>
                <w:rFonts w:asciiTheme="majorEastAsia" w:eastAsiaTheme="majorEastAsia" w:hAnsiTheme="majorEastAsia"/>
                <w:szCs w:val="21"/>
              </w:rPr>
            </w:pPr>
            <w:r>
              <w:rPr>
                <w:rFonts w:asciiTheme="majorEastAsia" w:eastAsiaTheme="majorEastAsia" w:hAnsiTheme="majorEastAsia" w:hint="eastAsia"/>
                <w:szCs w:val="21"/>
              </w:rPr>
              <w:t>0.700%</w:t>
            </w:r>
          </w:p>
        </w:tc>
      </w:tr>
      <w:tr>
        <w:tblPrEx>
          <w:tblW w:w="0" w:type="auto"/>
          <w:jc w:val="center"/>
          <w:tblLayout w:type="fixed"/>
          <w:tblCellMar>
            <w:top w:w="0" w:type="dxa"/>
            <w:left w:w="108" w:type="dxa"/>
            <w:bottom w:w="0" w:type="dxa"/>
            <w:right w:w="108" w:type="dxa"/>
          </w:tblCellMar>
        </w:tblPrEx>
        <w:trPr>
          <w:trHeight w:val="401"/>
          <w:jc w:val="center"/>
        </w:trPr>
        <w:tc>
          <w:tcPr>
            <w:tcW w:w="2802"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500</w:t>
            </w:r>
            <w:r>
              <w:rPr>
                <w:rFonts w:asciiTheme="majorEastAsia" w:eastAsiaTheme="majorEastAsia" w:hAnsiTheme="majorEastAsia" w:hint="eastAsia"/>
                <w:szCs w:val="21"/>
              </w:rPr>
              <w:t>～</w:t>
            </w:r>
            <w:r>
              <w:rPr>
                <w:rFonts w:asciiTheme="majorEastAsia" w:eastAsiaTheme="majorEastAsia" w:hAnsiTheme="majorEastAsia"/>
                <w:szCs w:val="21"/>
              </w:rPr>
              <w:t>1</w:t>
            </w:r>
            <w:r>
              <w:rPr>
                <w:rFonts w:asciiTheme="majorEastAsia" w:eastAsiaTheme="majorEastAsia" w:hAnsiTheme="majorEastAsia" w:hint="eastAsia"/>
                <w:szCs w:val="21"/>
              </w:rPr>
              <w:t>000</w:t>
            </w:r>
          </w:p>
        </w:tc>
        <w:tc>
          <w:tcPr>
            <w:tcW w:w="2027"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0.800%</w:t>
            </w:r>
          </w:p>
        </w:tc>
        <w:tc>
          <w:tcPr>
            <w:tcW w:w="2158"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0.450%</w:t>
            </w:r>
          </w:p>
        </w:tc>
        <w:tc>
          <w:tcPr>
            <w:tcW w:w="2158" w:type="dxa"/>
            <w:vAlign w:val="center"/>
          </w:tcPr>
          <w:p>
            <w:pPr>
              <w:snapToGrid w:val="0"/>
              <w:spacing w:line="360" w:lineRule="auto"/>
              <w:jc w:val="center"/>
              <w:rPr>
                <w:rFonts w:asciiTheme="majorEastAsia" w:eastAsiaTheme="majorEastAsia" w:hAnsiTheme="majorEastAsia"/>
                <w:szCs w:val="21"/>
              </w:rPr>
            </w:pPr>
            <w:r>
              <w:rPr>
                <w:rFonts w:asciiTheme="majorEastAsia" w:eastAsiaTheme="majorEastAsia" w:hAnsiTheme="majorEastAsia" w:hint="eastAsia"/>
                <w:szCs w:val="21"/>
              </w:rPr>
              <w:t>0.550%</w:t>
            </w:r>
          </w:p>
        </w:tc>
      </w:tr>
      <w:tr>
        <w:tblPrEx>
          <w:tblW w:w="0" w:type="auto"/>
          <w:jc w:val="center"/>
          <w:tblLayout w:type="fixed"/>
          <w:tblCellMar>
            <w:top w:w="0" w:type="dxa"/>
            <w:left w:w="108" w:type="dxa"/>
            <w:bottom w:w="0" w:type="dxa"/>
            <w:right w:w="108" w:type="dxa"/>
          </w:tblCellMar>
        </w:tblPrEx>
        <w:trPr>
          <w:trHeight w:val="401"/>
          <w:jc w:val="center"/>
        </w:trPr>
        <w:tc>
          <w:tcPr>
            <w:tcW w:w="2802"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1</w:t>
            </w:r>
            <w:r>
              <w:rPr>
                <w:rFonts w:asciiTheme="majorEastAsia" w:eastAsiaTheme="majorEastAsia" w:hAnsiTheme="majorEastAsia" w:hint="eastAsia"/>
                <w:szCs w:val="21"/>
              </w:rPr>
              <w:t>000～</w:t>
            </w:r>
            <w:r>
              <w:rPr>
                <w:rFonts w:asciiTheme="majorEastAsia" w:eastAsiaTheme="majorEastAsia" w:hAnsiTheme="majorEastAsia"/>
                <w:szCs w:val="21"/>
              </w:rPr>
              <w:t>5</w:t>
            </w:r>
            <w:r>
              <w:rPr>
                <w:rFonts w:asciiTheme="majorEastAsia" w:eastAsiaTheme="majorEastAsia" w:hAnsiTheme="majorEastAsia" w:hint="eastAsia"/>
                <w:szCs w:val="21"/>
              </w:rPr>
              <w:t>000</w:t>
            </w:r>
          </w:p>
        </w:tc>
        <w:tc>
          <w:tcPr>
            <w:tcW w:w="2027"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0.500%</w:t>
            </w:r>
          </w:p>
        </w:tc>
        <w:tc>
          <w:tcPr>
            <w:tcW w:w="2158"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0.250%</w:t>
            </w:r>
          </w:p>
        </w:tc>
        <w:tc>
          <w:tcPr>
            <w:tcW w:w="2158" w:type="dxa"/>
            <w:vAlign w:val="center"/>
          </w:tcPr>
          <w:p>
            <w:pPr>
              <w:snapToGrid w:val="0"/>
              <w:spacing w:line="360" w:lineRule="auto"/>
              <w:jc w:val="center"/>
              <w:rPr>
                <w:rFonts w:asciiTheme="majorEastAsia" w:eastAsiaTheme="majorEastAsia" w:hAnsiTheme="majorEastAsia"/>
                <w:szCs w:val="21"/>
              </w:rPr>
            </w:pPr>
            <w:r>
              <w:rPr>
                <w:rFonts w:asciiTheme="majorEastAsia" w:eastAsiaTheme="majorEastAsia" w:hAnsiTheme="majorEastAsia" w:hint="eastAsia"/>
                <w:szCs w:val="21"/>
              </w:rPr>
              <w:t>0.350%</w:t>
            </w:r>
          </w:p>
        </w:tc>
      </w:tr>
      <w:tr>
        <w:tblPrEx>
          <w:tblW w:w="0" w:type="auto"/>
          <w:jc w:val="center"/>
          <w:tblLayout w:type="fixed"/>
          <w:tblCellMar>
            <w:top w:w="0" w:type="dxa"/>
            <w:left w:w="108" w:type="dxa"/>
            <w:bottom w:w="0" w:type="dxa"/>
            <w:right w:w="108" w:type="dxa"/>
          </w:tblCellMar>
        </w:tblPrEx>
        <w:trPr>
          <w:trHeight w:val="401"/>
          <w:jc w:val="center"/>
        </w:trPr>
        <w:tc>
          <w:tcPr>
            <w:tcW w:w="2802"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5</w:t>
            </w:r>
            <w:r>
              <w:rPr>
                <w:rFonts w:asciiTheme="majorEastAsia" w:eastAsiaTheme="majorEastAsia" w:hAnsiTheme="majorEastAsia" w:hint="eastAsia"/>
                <w:szCs w:val="21"/>
              </w:rPr>
              <w:t>000～</w:t>
            </w:r>
            <w:r>
              <w:rPr>
                <w:rFonts w:asciiTheme="majorEastAsia" w:eastAsiaTheme="majorEastAsia" w:hAnsiTheme="majorEastAsia"/>
                <w:szCs w:val="21"/>
              </w:rPr>
              <w:t>1</w:t>
            </w:r>
            <w:r>
              <w:rPr>
                <w:rFonts w:asciiTheme="majorEastAsia" w:eastAsiaTheme="majorEastAsia" w:hAnsiTheme="majorEastAsia" w:hint="eastAsia"/>
                <w:szCs w:val="21"/>
              </w:rPr>
              <w:t>0000</w:t>
            </w:r>
          </w:p>
        </w:tc>
        <w:tc>
          <w:tcPr>
            <w:tcW w:w="2027"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0.250%</w:t>
            </w:r>
          </w:p>
        </w:tc>
        <w:tc>
          <w:tcPr>
            <w:tcW w:w="2158"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0.100%</w:t>
            </w:r>
          </w:p>
        </w:tc>
        <w:tc>
          <w:tcPr>
            <w:tcW w:w="2158" w:type="dxa"/>
            <w:vAlign w:val="center"/>
          </w:tcPr>
          <w:p>
            <w:pPr>
              <w:snapToGrid w:val="0"/>
              <w:spacing w:line="360" w:lineRule="auto"/>
              <w:jc w:val="center"/>
              <w:rPr>
                <w:rFonts w:asciiTheme="majorEastAsia" w:eastAsiaTheme="majorEastAsia" w:hAnsiTheme="majorEastAsia"/>
                <w:szCs w:val="21"/>
              </w:rPr>
            </w:pPr>
            <w:r>
              <w:rPr>
                <w:rFonts w:asciiTheme="majorEastAsia" w:eastAsiaTheme="majorEastAsia" w:hAnsiTheme="majorEastAsia" w:hint="eastAsia"/>
                <w:szCs w:val="21"/>
              </w:rPr>
              <w:t>0.200%</w:t>
            </w:r>
          </w:p>
        </w:tc>
      </w:tr>
      <w:tr>
        <w:tblPrEx>
          <w:tblW w:w="0" w:type="auto"/>
          <w:jc w:val="center"/>
          <w:tblLayout w:type="fixed"/>
          <w:tblCellMar>
            <w:top w:w="0" w:type="dxa"/>
            <w:left w:w="108" w:type="dxa"/>
            <w:bottom w:w="0" w:type="dxa"/>
            <w:right w:w="108" w:type="dxa"/>
          </w:tblCellMar>
        </w:tblPrEx>
        <w:trPr>
          <w:trHeight w:val="386"/>
          <w:jc w:val="center"/>
        </w:trPr>
        <w:tc>
          <w:tcPr>
            <w:tcW w:w="2802"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1</w:t>
            </w:r>
            <w:r>
              <w:rPr>
                <w:rFonts w:asciiTheme="majorEastAsia" w:eastAsiaTheme="majorEastAsia" w:hAnsiTheme="majorEastAsia" w:hint="eastAsia"/>
                <w:szCs w:val="21"/>
              </w:rPr>
              <w:t>0000～</w:t>
            </w:r>
            <w:r>
              <w:rPr>
                <w:rFonts w:asciiTheme="majorEastAsia" w:eastAsiaTheme="majorEastAsia" w:hAnsiTheme="majorEastAsia"/>
                <w:szCs w:val="21"/>
              </w:rPr>
              <w:t>5</w:t>
            </w:r>
            <w:r>
              <w:rPr>
                <w:rFonts w:asciiTheme="majorEastAsia" w:eastAsiaTheme="majorEastAsia" w:hAnsiTheme="majorEastAsia" w:hint="eastAsia"/>
                <w:szCs w:val="21"/>
              </w:rPr>
              <w:t>0000</w:t>
            </w:r>
          </w:p>
        </w:tc>
        <w:tc>
          <w:tcPr>
            <w:tcW w:w="2027"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0.050%</w:t>
            </w:r>
          </w:p>
        </w:tc>
        <w:tc>
          <w:tcPr>
            <w:tcW w:w="2158"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0.050%</w:t>
            </w:r>
          </w:p>
        </w:tc>
        <w:tc>
          <w:tcPr>
            <w:tcW w:w="2158" w:type="dxa"/>
            <w:vAlign w:val="center"/>
          </w:tcPr>
          <w:p>
            <w:pPr>
              <w:snapToGrid w:val="0"/>
              <w:spacing w:line="360" w:lineRule="auto"/>
              <w:jc w:val="center"/>
              <w:rPr>
                <w:rFonts w:asciiTheme="majorEastAsia" w:eastAsiaTheme="majorEastAsia" w:hAnsiTheme="majorEastAsia"/>
                <w:szCs w:val="21"/>
              </w:rPr>
            </w:pPr>
            <w:r>
              <w:rPr>
                <w:rFonts w:asciiTheme="majorEastAsia" w:eastAsiaTheme="majorEastAsia" w:hAnsiTheme="majorEastAsia" w:hint="eastAsia"/>
                <w:szCs w:val="21"/>
              </w:rPr>
              <w:t>0.050%</w:t>
            </w:r>
          </w:p>
        </w:tc>
      </w:tr>
      <w:tr>
        <w:tblPrEx>
          <w:tblW w:w="0" w:type="auto"/>
          <w:jc w:val="center"/>
          <w:tblLayout w:type="fixed"/>
          <w:tblCellMar>
            <w:top w:w="0" w:type="dxa"/>
            <w:left w:w="108" w:type="dxa"/>
            <w:bottom w:w="0" w:type="dxa"/>
            <w:right w:w="108" w:type="dxa"/>
          </w:tblCellMar>
        </w:tblPrEx>
        <w:trPr>
          <w:trHeight w:val="401"/>
          <w:jc w:val="center"/>
        </w:trPr>
        <w:tc>
          <w:tcPr>
            <w:tcW w:w="2802"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5</w:t>
            </w:r>
            <w:r>
              <w:rPr>
                <w:rFonts w:asciiTheme="majorEastAsia" w:eastAsiaTheme="majorEastAsia" w:hAnsiTheme="majorEastAsia" w:hint="eastAsia"/>
                <w:szCs w:val="21"/>
              </w:rPr>
              <w:t>0000～</w:t>
            </w:r>
            <w:r>
              <w:rPr>
                <w:rFonts w:asciiTheme="majorEastAsia" w:eastAsiaTheme="majorEastAsia" w:hAnsiTheme="majorEastAsia"/>
                <w:szCs w:val="21"/>
              </w:rPr>
              <w:t>10</w:t>
            </w:r>
            <w:r>
              <w:rPr>
                <w:rFonts w:asciiTheme="majorEastAsia" w:eastAsiaTheme="majorEastAsia" w:hAnsiTheme="majorEastAsia" w:hint="eastAsia"/>
                <w:szCs w:val="21"/>
              </w:rPr>
              <w:t>0000</w:t>
            </w:r>
          </w:p>
        </w:tc>
        <w:tc>
          <w:tcPr>
            <w:tcW w:w="2027"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0.035%</w:t>
            </w:r>
          </w:p>
        </w:tc>
        <w:tc>
          <w:tcPr>
            <w:tcW w:w="2158"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0.035%</w:t>
            </w:r>
          </w:p>
        </w:tc>
        <w:tc>
          <w:tcPr>
            <w:tcW w:w="2158" w:type="dxa"/>
            <w:vAlign w:val="center"/>
          </w:tcPr>
          <w:p>
            <w:pPr>
              <w:snapToGrid w:val="0"/>
              <w:spacing w:line="360" w:lineRule="auto"/>
              <w:jc w:val="center"/>
              <w:rPr>
                <w:rFonts w:asciiTheme="majorEastAsia" w:eastAsiaTheme="majorEastAsia" w:hAnsiTheme="majorEastAsia"/>
                <w:bCs/>
                <w:szCs w:val="21"/>
              </w:rPr>
            </w:pPr>
            <w:r>
              <w:rPr>
                <w:rFonts w:asciiTheme="majorEastAsia" w:eastAsiaTheme="majorEastAsia" w:hAnsiTheme="majorEastAsia" w:hint="eastAsia"/>
                <w:bCs/>
                <w:szCs w:val="21"/>
              </w:rPr>
              <w:t>0.035%</w:t>
            </w:r>
          </w:p>
        </w:tc>
      </w:tr>
      <w:tr>
        <w:tblPrEx>
          <w:tblW w:w="0" w:type="auto"/>
          <w:jc w:val="center"/>
          <w:tblLayout w:type="fixed"/>
          <w:tblCellMar>
            <w:top w:w="0" w:type="dxa"/>
            <w:left w:w="108" w:type="dxa"/>
            <w:bottom w:w="0" w:type="dxa"/>
            <w:right w:w="108" w:type="dxa"/>
          </w:tblCellMar>
        </w:tblPrEx>
        <w:trPr>
          <w:trHeight w:val="401"/>
          <w:jc w:val="center"/>
        </w:trPr>
        <w:tc>
          <w:tcPr>
            <w:tcW w:w="2802"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10</w:t>
            </w:r>
            <w:r>
              <w:rPr>
                <w:rFonts w:asciiTheme="majorEastAsia" w:eastAsiaTheme="majorEastAsia" w:hAnsiTheme="majorEastAsia" w:hint="eastAsia"/>
                <w:szCs w:val="21"/>
              </w:rPr>
              <w:t>0000～</w:t>
            </w:r>
            <w:r>
              <w:rPr>
                <w:rFonts w:asciiTheme="majorEastAsia" w:eastAsiaTheme="majorEastAsia" w:hAnsiTheme="majorEastAsia"/>
                <w:szCs w:val="21"/>
              </w:rPr>
              <w:t>50</w:t>
            </w:r>
            <w:r>
              <w:rPr>
                <w:rFonts w:asciiTheme="majorEastAsia" w:eastAsiaTheme="majorEastAsia" w:hAnsiTheme="majorEastAsia" w:hint="eastAsia"/>
                <w:szCs w:val="21"/>
              </w:rPr>
              <w:t>0000</w:t>
            </w:r>
          </w:p>
        </w:tc>
        <w:tc>
          <w:tcPr>
            <w:tcW w:w="2027"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0.008%</w:t>
            </w:r>
          </w:p>
        </w:tc>
        <w:tc>
          <w:tcPr>
            <w:tcW w:w="2158"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0.008%</w:t>
            </w:r>
          </w:p>
        </w:tc>
        <w:tc>
          <w:tcPr>
            <w:tcW w:w="2158" w:type="dxa"/>
            <w:vAlign w:val="center"/>
          </w:tcPr>
          <w:p>
            <w:pPr>
              <w:snapToGrid w:val="0"/>
              <w:spacing w:line="360" w:lineRule="auto"/>
              <w:jc w:val="center"/>
              <w:rPr>
                <w:rFonts w:asciiTheme="majorEastAsia" w:eastAsiaTheme="majorEastAsia" w:hAnsiTheme="majorEastAsia"/>
                <w:bCs/>
                <w:szCs w:val="21"/>
              </w:rPr>
            </w:pPr>
            <w:r>
              <w:rPr>
                <w:rFonts w:asciiTheme="majorEastAsia" w:eastAsiaTheme="majorEastAsia" w:hAnsiTheme="majorEastAsia" w:hint="eastAsia"/>
                <w:bCs/>
                <w:szCs w:val="21"/>
              </w:rPr>
              <w:t>0.008%</w:t>
            </w:r>
          </w:p>
        </w:tc>
      </w:tr>
      <w:tr>
        <w:tblPrEx>
          <w:tblW w:w="0" w:type="auto"/>
          <w:jc w:val="center"/>
          <w:tblLayout w:type="fixed"/>
          <w:tblCellMar>
            <w:top w:w="0" w:type="dxa"/>
            <w:left w:w="108" w:type="dxa"/>
            <w:bottom w:w="0" w:type="dxa"/>
            <w:right w:w="108" w:type="dxa"/>
          </w:tblCellMar>
        </w:tblPrEx>
        <w:trPr>
          <w:trHeight w:val="401"/>
          <w:jc w:val="center"/>
        </w:trPr>
        <w:tc>
          <w:tcPr>
            <w:tcW w:w="2802"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50</w:t>
            </w:r>
            <w:r>
              <w:rPr>
                <w:rFonts w:asciiTheme="majorEastAsia" w:eastAsiaTheme="majorEastAsia" w:hAnsiTheme="majorEastAsia" w:hint="eastAsia"/>
                <w:szCs w:val="21"/>
              </w:rPr>
              <w:t>0000～</w:t>
            </w:r>
            <w:r>
              <w:rPr>
                <w:rFonts w:asciiTheme="majorEastAsia" w:eastAsiaTheme="majorEastAsia" w:hAnsiTheme="majorEastAsia"/>
                <w:szCs w:val="21"/>
              </w:rPr>
              <w:t>100</w:t>
            </w:r>
            <w:r>
              <w:rPr>
                <w:rFonts w:asciiTheme="majorEastAsia" w:eastAsiaTheme="majorEastAsia" w:hAnsiTheme="majorEastAsia" w:hint="eastAsia"/>
                <w:szCs w:val="21"/>
              </w:rPr>
              <w:t>0000</w:t>
            </w:r>
          </w:p>
        </w:tc>
        <w:tc>
          <w:tcPr>
            <w:tcW w:w="2027"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0.006%</w:t>
            </w:r>
          </w:p>
        </w:tc>
        <w:tc>
          <w:tcPr>
            <w:tcW w:w="2158"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0.006%</w:t>
            </w:r>
          </w:p>
        </w:tc>
        <w:tc>
          <w:tcPr>
            <w:tcW w:w="2158" w:type="dxa"/>
            <w:vAlign w:val="center"/>
          </w:tcPr>
          <w:p>
            <w:pPr>
              <w:snapToGrid w:val="0"/>
              <w:spacing w:line="360" w:lineRule="auto"/>
              <w:jc w:val="center"/>
              <w:rPr>
                <w:rFonts w:asciiTheme="majorEastAsia" w:eastAsiaTheme="majorEastAsia" w:hAnsiTheme="majorEastAsia"/>
                <w:bCs/>
                <w:szCs w:val="21"/>
              </w:rPr>
            </w:pPr>
            <w:r>
              <w:rPr>
                <w:rFonts w:asciiTheme="majorEastAsia" w:eastAsiaTheme="majorEastAsia" w:hAnsiTheme="majorEastAsia" w:hint="eastAsia"/>
                <w:bCs/>
                <w:szCs w:val="21"/>
              </w:rPr>
              <w:t>0.006%</w:t>
            </w:r>
          </w:p>
        </w:tc>
      </w:tr>
      <w:tr>
        <w:tblPrEx>
          <w:tblW w:w="0" w:type="auto"/>
          <w:jc w:val="center"/>
          <w:tblLayout w:type="fixed"/>
          <w:tblCellMar>
            <w:top w:w="0" w:type="dxa"/>
            <w:left w:w="108" w:type="dxa"/>
            <w:bottom w:w="0" w:type="dxa"/>
            <w:right w:w="108" w:type="dxa"/>
          </w:tblCellMar>
        </w:tblPrEx>
        <w:trPr>
          <w:trHeight w:val="416"/>
          <w:jc w:val="center"/>
        </w:trPr>
        <w:tc>
          <w:tcPr>
            <w:tcW w:w="2802"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100</w:t>
            </w:r>
            <w:r>
              <w:rPr>
                <w:rFonts w:asciiTheme="majorEastAsia" w:eastAsiaTheme="majorEastAsia" w:hAnsiTheme="majorEastAsia" w:hint="eastAsia"/>
                <w:szCs w:val="21"/>
              </w:rPr>
              <w:t>0000以上</w:t>
            </w:r>
          </w:p>
        </w:tc>
        <w:tc>
          <w:tcPr>
            <w:tcW w:w="2027"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0.004%</w:t>
            </w:r>
          </w:p>
        </w:tc>
        <w:tc>
          <w:tcPr>
            <w:tcW w:w="2158" w:type="dxa"/>
            <w:vAlign w:val="center"/>
          </w:tcPr>
          <w:p>
            <w:pPr>
              <w:spacing w:line="360" w:lineRule="auto"/>
              <w:jc w:val="center"/>
              <w:rPr>
                <w:rFonts w:asciiTheme="majorEastAsia" w:eastAsiaTheme="majorEastAsia" w:hAnsiTheme="majorEastAsia"/>
                <w:szCs w:val="21"/>
              </w:rPr>
            </w:pPr>
            <w:r>
              <w:rPr>
                <w:rFonts w:asciiTheme="majorEastAsia" w:eastAsiaTheme="majorEastAsia" w:hAnsiTheme="majorEastAsia"/>
                <w:szCs w:val="21"/>
              </w:rPr>
              <w:t>0.004%</w:t>
            </w:r>
          </w:p>
        </w:tc>
        <w:tc>
          <w:tcPr>
            <w:tcW w:w="2158" w:type="dxa"/>
            <w:vAlign w:val="center"/>
          </w:tcPr>
          <w:p>
            <w:pPr>
              <w:snapToGrid w:val="0"/>
              <w:spacing w:line="360" w:lineRule="auto"/>
              <w:jc w:val="center"/>
              <w:rPr>
                <w:rFonts w:asciiTheme="majorEastAsia" w:eastAsiaTheme="majorEastAsia" w:hAnsiTheme="majorEastAsia"/>
                <w:bCs/>
                <w:szCs w:val="21"/>
              </w:rPr>
            </w:pPr>
            <w:r>
              <w:rPr>
                <w:rFonts w:asciiTheme="majorEastAsia" w:eastAsiaTheme="majorEastAsia" w:hAnsiTheme="majorEastAsia" w:hint="eastAsia"/>
                <w:bCs/>
                <w:szCs w:val="21"/>
              </w:rPr>
              <w:t>0.004%</w:t>
            </w:r>
          </w:p>
        </w:tc>
      </w:tr>
    </w:tbl>
    <w:p>
      <w:pPr>
        <w:spacing w:line="360" w:lineRule="auto"/>
        <w:ind w:firstLine="412" w:firstLineChars="196"/>
        <w:rPr>
          <w:rFonts w:asciiTheme="majorEastAsia" w:eastAsiaTheme="majorEastAsia" w:hAnsiTheme="majorEastAsia"/>
          <w:szCs w:val="21"/>
        </w:rPr>
      </w:pPr>
    </w:p>
    <w:p>
      <w:pPr>
        <w:keepNext/>
        <w:keepLines/>
        <w:widowControl/>
        <w:numPr>
          <w:ilvl w:val="0"/>
          <w:numId w:val="2"/>
        </w:numPr>
        <w:adjustRightInd w:val="0"/>
        <w:spacing w:before="156" w:beforeLines="50" w:after="156" w:afterLines="50" w:line="360" w:lineRule="auto"/>
        <w:ind w:left="562" w:hanging="562"/>
        <w:jc w:val="center"/>
        <w:textAlignment w:val="baseline"/>
        <w:outlineLvl w:val="1"/>
        <w:rPr>
          <w:rFonts w:asciiTheme="majorEastAsia" w:eastAsiaTheme="majorEastAsia" w:hAnsiTheme="majorEastAsia"/>
          <w:b/>
          <w:bCs/>
          <w:kern w:val="0"/>
          <w:sz w:val="28"/>
          <w:szCs w:val="28"/>
        </w:rPr>
      </w:pPr>
      <w:bookmarkEnd w:id="57"/>
      <w:r>
        <w:rPr>
          <w:rFonts w:asciiTheme="majorEastAsia" w:eastAsiaTheme="majorEastAsia" w:hAnsiTheme="majorEastAsia" w:hint="eastAsia"/>
          <w:b/>
          <w:bCs/>
          <w:kern w:val="0"/>
          <w:sz w:val="28"/>
          <w:szCs w:val="28"/>
        </w:rPr>
        <w:t>公开招标失败的后续处理</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42．公开招标失败的处理</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42.1本项目公开招标过程中若由于投标截止后实际递交</w:t>
      </w:r>
      <w:r>
        <w:rPr>
          <w:rFonts w:asciiTheme="majorEastAsia" w:eastAsiaTheme="majorEastAsia" w:hAnsiTheme="majorEastAsia"/>
          <w:szCs w:val="21"/>
        </w:rPr>
        <w:t>投标</w:t>
      </w:r>
      <w:r>
        <w:rPr>
          <w:rFonts w:asciiTheme="majorEastAsia" w:eastAsiaTheme="majorEastAsia" w:hAnsiTheme="majorEastAsia" w:hint="eastAsia"/>
          <w:szCs w:val="21"/>
        </w:rPr>
        <w:t>文件的供应商数量不足、经评审委员会评审对招标文件作实质响应的供应商不足等原因造成公开招标失败，可由</w:t>
      </w:r>
      <w:r>
        <w:rPr>
          <w:rFonts w:asciiTheme="majorEastAsia" w:eastAsiaTheme="majorEastAsia" w:hAnsiTheme="majorEastAsia" w:cs="宋体" w:hint="eastAsia"/>
          <w:szCs w:val="21"/>
        </w:rPr>
        <w:t>采购代理机构</w:t>
      </w:r>
      <w:r>
        <w:rPr>
          <w:rFonts w:asciiTheme="majorEastAsia" w:eastAsiaTheme="majorEastAsia" w:hAnsiTheme="majorEastAsia" w:hint="eastAsia"/>
          <w:szCs w:val="21"/>
        </w:rPr>
        <w:t>重新组织采购。</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42.2对公开招标失败的项目，评审委员会在出具该项目招标失败结论的同时，可以提出重新采购组织形式的建议，以及进一步完善招标文件的资格、技术、商务要求的修改建议。</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42.3重新组织采购有以下两种组织形式：</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（1）由采购代理机构重新组织公开招标；</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（2）根据实际情况需要向同级财政部门提出非公开招标方式申请的，经同级财政部门批准，公开招标失败采购项目可转为竞争性谈判或单一来源谈判方式采购。</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42.4公开招标失败的采购项目重新组织公开招标，由采购代理机构重新按公开招标流程组织采购活动。</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42.5公开招标失败的采购项目经同级财政部门批准转为竞争性谈判或单一来源谈判方式采购的，按规定要求组织政府采购工作。</w:t>
      </w:r>
    </w:p>
    <w:p>
      <w:pPr>
        <w:keepNext/>
        <w:keepLines/>
        <w:widowControl/>
        <w:numPr>
          <w:ilvl w:val="0"/>
          <w:numId w:val="2"/>
        </w:numPr>
        <w:adjustRightInd w:val="0"/>
        <w:spacing w:before="156" w:beforeLines="50" w:after="156" w:afterLines="50" w:line="360" w:lineRule="auto"/>
        <w:ind w:left="562" w:hanging="562"/>
        <w:jc w:val="center"/>
        <w:textAlignment w:val="baseline"/>
        <w:outlineLvl w:val="1"/>
        <w:rPr>
          <w:rFonts w:asciiTheme="majorEastAsia" w:eastAsiaTheme="majorEastAsia" w:hAnsiTheme="majorEastAsia"/>
          <w:b/>
          <w:bCs/>
          <w:kern w:val="0"/>
          <w:sz w:val="28"/>
          <w:szCs w:val="28"/>
        </w:rPr>
      </w:pPr>
      <w:bookmarkStart w:id="58" w:name="_Hlk72439043"/>
      <w:r>
        <w:rPr>
          <w:rFonts w:asciiTheme="majorEastAsia" w:eastAsiaTheme="majorEastAsia" w:hAnsiTheme="majorEastAsia" w:hint="eastAsia"/>
          <w:b/>
          <w:bCs/>
          <w:kern w:val="0"/>
          <w:sz w:val="28"/>
          <w:szCs w:val="28"/>
        </w:rPr>
        <w:t>合同的授予与备案</w:t>
      </w:r>
      <w:bookmarkEnd w:id="58"/>
    </w:p>
    <w:p>
      <w:pPr>
        <w:spacing w:line="360" w:lineRule="auto"/>
        <w:rPr>
          <w:rFonts w:asciiTheme="majorEastAsia" w:eastAsiaTheme="majorEastAsia" w:hAnsiTheme="majorEastAsia"/>
          <w:b/>
          <w:bCs/>
          <w:szCs w:val="21"/>
        </w:rPr>
      </w:pPr>
      <w:bookmarkStart w:id="59" w:name="_Toc73521674"/>
      <w:bookmarkStart w:id="60" w:name="_Toc73518157"/>
      <w:bookmarkStart w:id="61" w:name="_Toc100052408"/>
      <w:bookmarkStart w:id="62" w:name="_Toc73517679"/>
      <w:bookmarkStart w:id="63" w:name="_Toc73521586"/>
      <w:bookmarkStart w:id="64" w:name="_Hlk72439088"/>
      <w:r>
        <w:rPr>
          <w:rFonts w:asciiTheme="majorEastAsia" w:eastAsiaTheme="majorEastAsia" w:hAnsiTheme="majorEastAsia" w:hint="eastAsia"/>
          <w:b/>
          <w:bCs/>
          <w:szCs w:val="21"/>
        </w:rPr>
        <w:t>43．合同授予标准</w:t>
      </w:r>
      <w:bookmarkEnd w:id="59"/>
      <w:bookmarkEnd w:id="60"/>
      <w:bookmarkEnd w:id="61"/>
      <w:bookmarkEnd w:id="62"/>
      <w:bookmarkEnd w:id="63"/>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本项目的合同将授予经本招标文件规定评审确定的中标供应商。</w:t>
      </w:r>
    </w:p>
    <w:p>
      <w:pPr>
        <w:spacing w:line="360" w:lineRule="auto"/>
        <w:rPr>
          <w:rFonts w:asciiTheme="majorEastAsia" w:eastAsiaTheme="majorEastAsia" w:hAnsiTheme="majorEastAsia"/>
          <w:b/>
          <w:bCs/>
          <w:szCs w:val="21"/>
        </w:rPr>
      </w:pPr>
      <w:bookmarkStart w:id="65" w:name="_Toc73517680"/>
      <w:bookmarkStart w:id="66" w:name="_Toc73521587"/>
      <w:bookmarkStart w:id="67" w:name="_Toc73521675"/>
      <w:bookmarkStart w:id="68" w:name="_Toc73518158"/>
      <w:bookmarkStart w:id="69" w:name="_Toc100052409"/>
      <w:r>
        <w:rPr>
          <w:rFonts w:asciiTheme="majorEastAsia" w:eastAsiaTheme="majorEastAsia" w:hAnsiTheme="majorEastAsia" w:hint="eastAsia"/>
          <w:b/>
          <w:bCs/>
          <w:szCs w:val="21"/>
        </w:rPr>
        <w:t>44．</w:t>
      </w:r>
      <w:bookmarkEnd w:id="65"/>
      <w:bookmarkEnd w:id="66"/>
      <w:bookmarkEnd w:id="67"/>
      <w:bookmarkEnd w:id="68"/>
      <w:bookmarkEnd w:id="69"/>
      <w:r>
        <w:rPr>
          <w:rFonts w:asciiTheme="majorEastAsia" w:eastAsiaTheme="majorEastAsia" w:hAnsiTheme="majorEastAsia" w:hint="eastAsia"/>
          <w:b/>
          <w:bCs/>
          <w:szCs w:val="21"/>
        </w:rPr>
        <w:t>接受和拒绝任何或所有投标的权力</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采购代理机构和采购人保留在投标之前任何时候接受或拒绝任何投标或所有投标，以及宣布招标无效的权力，对受影响的投标人不承担任何责任，也无义务向受影响的投标人解释采取这一行动的理由。</w:t>
      </w:r>
    </w:p>
    <w:p>
      <w:pPr>
        <w:spacing w:line="360" w:lineRule="auto"/>
        <w:rPr>
          <w:rFonts w:asciiTheme="majorEastAsia" w:eastAsiaTheme="majorEastAsia" w:hAnsiTheme="majorEastAsia"/>
          <w:b/>
          <w:bCs/>
          <w:szCs w:val="21"/>
        </w:rPr>
      </w:pPr>
      <w:bookmarkStart w:id="70" w:name="_Toc73521677"/>
      <w:bookmarkStart w:id="71" w:name="_Toc73521589"/>
      <w:bookmarkStart w:id="72" w:name="_Toc73518160"/>
      <w:bookmarkStart w:id="73" w:name="_Toc100052410"/>
      <w:bookmarkStart w:id="74" w:name="_Toc73517682"/>
      <w:r>
        <w:rPr>
          <w:rFonts w:asciiTheme="majorEastAsia" w:eastAsiaTheme="majorEastAsia" w:hAnsiTheme="majorEastAsia" w:hint="eastAsia"/>
          <w:b/>
          <w:bCs/>
          <w:szCs w:val="21"/>
        </w:rPr>
        <w:t>45．合同的签订</w:t>
      </w:r>
      <w:bookmarkEnd w:id="70"/>
      <w:bookmarkEnd w:id="71"/>
      <w:bookmarkEnd w:id="72"/>
      <w:bookmarkEnd w:id="73"/>
      <w:bookmarkEnd w:id="74"/>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45.1中标人将于中标通知书发出之日起十个工作日内，按照采购文件（招标文件和投标文件等）内容与采购人签订政府采购合同；合同的实质性内容应当符合招标文件的规定；</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45.2中标人如不按本通用条款第45</w:t>
      </w:r>
      <w:r>
        <w:rPr>
          <w:rFonts w:asciiTheme="majorEastAsia" w:eastAsiaTheme="majorEastAsia" w:hAnsiTheme="majorEastAsia"/>
          <w:szCs w:val="21"/>
        </w:rPr>
        <w:t>.1</w:t>
      </w:r>
      <w:r>
        <w:rPr>
          <w:rFonts w:asciiTheme="majorEastAsia" w:eastAsiaTheme="majorEastAsia" w:hAnsiTheme="majorEastAsia" w:hint="eastAsia"/>
          <w:szCs w:val="21"/>
        </w:rPr>
        <w:t>款的规定与采购人签订合同，</w:t>
      </w:r>
      <w:r>
        <w:rPr>
          <w:rFonts w:asciiTheme="majorEastAsia" w:eastAsiaTheme="majorEastAsia" w:hAnsiTheme="majorEastAsia" w:cs="宋体"/>
          <w:szCs w:val="21"/>
        </w:rPr>
        <w:t>情节严重的，由</w:t>
      </w:r>
      <w:r>
        <w:rPr>
          <w:rFonts w:asciiTheme="majorEastAsia" w:eastAsiaTheme="majorEastAsia" w:hAnsiTheme="majorEastAsia" w:cs="宋体" w:hint="eastAsia"/>
          <w:szCs w:val="21"/>
        </w:rPr>
        <w:t>同级财政</w:t>
      </w:r>
      <w:r>
        <w:rPr>
          <w:rFonts w:asciiTheme="majorEastAsia" w:eastAsiaTheme="majorEastAsia" w:hAnsiTheme="majorEastAsia" w:cs="宋体"/>
          <w:szCs w:val="21"/>
        </w:rPr>
        <w:t>部门记入供应商诚信档案，予以通报</w:t>
      </w:r>
      <w:r>
        <w:rPr>
          <w:rFonts w:asciiTheme="majorEastAsia" w:eastAsiaTheme="majorEastAsia" w:hAnsiTheme="majorEastAsia" w:hint="eastAsia"/>
          <w:szCs w:val="21"/>
        </w:rPr>
        <w:t>；</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45.3中标人应当按照合同约定履行义务，完成中标项目，不得将中标项目转让（转包）给他人。</w:t>
      </w:r>
    </w:p>
    <w:p>
      <w:pPr>
        <w:spacing w:line="360" w:lineRule="auto"/>
        <w:rPr>
          <w:rFonts w:asciiTheme="majorEastAsia" w:eastAsiaTheme="majorEastAsia" w:hAnsiTheme="majorEastAsia"/>
          <w:b/>
          <w:bCs/>
          <w:szCs w:val="21"/>
        </w:rPr>
      </w:pPr>
      <w:bookmarkStart w:id="75" w:name="_Toc73517683"/>
      <w:bookmarkStart w:id="76" w:name="_Toc73521590"/>
      <w:bookmarkStart w:id="77" w:name="_Toc73518161"/>
      <w:bookmarkStart w:id="78" w:name="_Toc100052411"/>
      <w:bookmarkStart w:id="79" w:name="_Toc73521678"/>
      <w:r>
        <w:rPr>
          <w:rFonts w:asciiTheme="majorEastAsia" w:eastAsiaTheme="majorEastAsia" w:hAnsiTheme="majorEastAsia" w:hint="eastAsia"/>
          <w:b/>
          <w:bCs/>
          <w:szCs w:val="21"/>
        </w:rPr>
        <w:t>46．履约担保</w:t>
      </w:r>
      <w:bookmarkEnd w:id="75"/>
      <w:bookmarkEnd w:id="76"/>
      <w:bookmarkEnd w:id="77"/>
      <w:bookmarkEnd w:id="78"/>
      <w:bookmarkEnd w:id="79"/>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46.1在签订项目合同的同时，中标人应按“对通用条款的补充内容”中规定的金额向采购人提交履约担保；</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46.2，允许供应商自主选择以支票、汇票、本票、保函等非现金方式提交履约担保；</w:t>
      </w:r>
      <w:r>
        <w:rPr>
          <w:rFonts w:asciiTheme="majorEastAsia" w:eastAsiaTheme="majorEastAsia" w:hAnsiTheme="majorEastAsia"/>
          <w:szCs w:val="21"/>
        </w:rPr>
        <w:t>中标</w:t>
      </w:r>
      <w:r>
        <w:rPr>
          <w:rFonts w:asciiTheme="majorEastAsia" w:eastAsiaTheme="majorEastAsia" w:hAnsiTheme="majorEastAsia" w:hint="eastAsia"/>
          <w:szCs w:val="21"/>
        </w:rPr>
        <w:t>人</w:t>
      </w:r>
      <w:r>
        <w:rPr>
          <w:rFonts w:asciiTheme="majorEastAsia" w:eastAsiaTheme="majorEastAsia" w:hAnsiTheme="majorEastAsia"/>
          <w:szCs w:val="21"/>
        </w:rPr>
        <w:t>提交履约</w:t>
      </w:r>
      <w:r>
        <w:rPr>
          <w:rFonts w:asciiTheme="majorEastAsia" w:eastAsiaTheme="majorEastAsia" w:hAnsiTheme="majorEastAsia" w:hint="eastAsia"/>
          <w:szCs w:val="21"/>
        </w:rPr>
        <w:t>担保不是</w:t>
      </w:r>
      <w:r>
        <w:rPr>
          <w:rFonts w:asciiTheme="majorEastAsia" w:eastAsiaTheme="majorEastAsia" w:hAnsiTheme="majorEastAsia"/>
          <w:szCs w:val="21"/>
        </w:rPr>
        <w:t>合同签订的</w:t>
      </w:r>
      <w:r>
        <w:rPr>
          <w:rFonts w:asciiTheme="majorEastAsia" w:eastAsiaTheme="majorEastAsia" w:hAnsiTheme="majorEastAsia" w:hint="eastAsia"/>
          <w:szCs w:val="21"/>
        </w:rPr>
        <w:t>前提</w:t>
      </w:r>
      <w:r>
        <w:rPr>
          <w:rFonts w:asciiTheme="majorEastAsia" w:eastAsiaTheme="majorEastAsia" w:hAnsiTheme="majorEastAsia"/>
          <w:szCs w:val="21"/>
        </w:rPr>
        <w:t>条件，不要求中标</w:t>
      </w:r>
      <w:r>
        <w:rPr>
          <w:rFonts w:asciiTheme="majorEastAsia" w:eastAsiaTheme="majorEastAsia" w:hAnsiTheme="majorEastAsia" w:hint="eastAsia"/>
          <w:szCs w:val="21"/>
        </w:rPr>
        <w:t>人</w:t>
      </w:r>
      <w:r>
        <w:rPr>
          <w:rFonts w:asciiTheme="majorEastAsia" w:eastAsiaTheme="majorEastAsia" w:hAnsiTheme="majorEastAsia"/>
          <w:szCs w:val="21"/>
        </w:rPr>
        <w:t>提供除法律、法规明确规定外的其他担保</w:t>
      </w:r>
      <w:r>
        <w:rPr>
          <w:rFonts w:asciiTheme="majorEastAsia" w:eastAsiaTheme="majorEastAsia" w:hAnsiTheme="majorEastAsia" w:hint="eastAsia"/>
          <w:szCs w:val="21"/>
        </w:rPr>
        <w:t>。</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47. 合同备案</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采购人与中标人应于合同签订之日起十日内，由采购人或委托中标人将采购合同副本抄送合同备案工作实施机构备案。</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48. 合同变更</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合同变更事宜按《深圳市财政局 深圳市政府采购中心关于进一步加强市本级政府采购合同备案管理工作的通知》（深财购〔2019〕43号）相关规定执行。</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49. 项目验收</w:t>
      </w:r>
    </w:p>
    <w:p>
      <w:pPr>
        <w:spacing w:line="360" w:lineRule="auto"/>
        <w:ind w:right="176" w:firstLine="420"/>
        <w:rPr>
          <w:rFonts w:asciiTheme="majorEastAsia" w:eastAsiaTheme="majorEastAsia" w:hAnsiTheme="majorEastAsia"/>
          <w:szCs w:val="21"/>
        </w:rPr>
      </w:pPr>
      <w:r>
        <w:rPr>
          <w:rFonts w:asciiTheme="majorEastAsia" w:eastAsiaTheme="majorEastAsia" w:hAnsiTheme="majorEastAsia" w:hint="eastAsia"/>
          <w:szCs w:val="21"/>
        </w:rPr>
        <w:t>49.1采购人应当按照招标文件和合同规定的标准和方法，及时组织验收。</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50. 宣传</w:t>
      </w:r>
    </w:p>
    <w:p>
      <w:pPr>
        <w:spacing w:line="360" w:lineRule="auto"/>
        <w:ind w:left="210" w:firstLine="412" w:leftChars="100" w:firstLineChars="196"/>
        <w:rPr>
          <w:rFonts w:asciiTheme="majorEastAsia" w:eastAsiaTheme="majorEastAsia" w:hAnsiTheme="majorEastAsia"/>
          <w:szCs w:val="21"/>
        </w:rPr>
      </w:pPr>
      <w:r>
        <w:rPr>
          <w:rFonts w:asciiTheme="majorEastAsia" w:eastAsiaTheme="majorEastAsia" w:hAnsiTheme="majorEastAsia" w:hint="eastAsia"/>
          <w:szCs w:val="21"/>
        </w:rPr>
        <w:t>凡与政府采购活动有关的宣传或广告，若当中提及政府采购，</w:t>
      </w:r>
      <w:r>
        <w:rPr>
          <w:rFonts w:asciiTheme="majorEastAsia" w:eastAsiaTheme="majorEastAsia" w:hAnsiTheme="majorEastAsia"/>
          <w:szCs w:val="21"/>
        </w:rPr>
        <w:t>必须事先将具体对外宣传方案报</w:t>
      </w:r>
      <w:r>
        <w:rPr>
          <w:rFonts w:asciiTheme="majorEastAsia" w:eastAsiaTheme="majorEastAsia" w:hAnsiTheme="majorEastAsia" w:hint="eastAsia"/>
          <w:szCs w:val="21"/>
        </w:rPr>
        <w:t>同级财政部门</w:t>
      </w:r>
      <w:r>
        <w:rPr>
          <w:rFonts w:asciiTheme="majorEastAsia" w:eastAsiaTheme="majorEastAsia" w:hAnsiTheme="majorEastAsia"/>
          <w:szCs w:val="21"/>
        </w:rPr>
        <w:t>和</w:t>
      </w:r>
      <w:r>
        <w:rPr>
          <w:rFonts w:asciiTheme="majorEastAsia" w:eastAsiaTheme="majorEastAsia" w:hAnsiTheme="majorEastAsia" w:hint="eastAsia"/>
          <w:szCs w:val="21"/>
        </w:rPr>
        <w:t>采购代理机构</w:t>
      </w:r>
      <w:r>
        <w:rPr>
          <w:rFonts w:asciiTheme="majorEastAsia" w:eastAsiaTheme="majorEastAsia" w:hAnsiTheme="majorEastAsia"/>
          <w:szCs w:val="21"/>
        </w:rPr>
        <w:t>，并征得其同意。对外市场宣传包括但不限于以下形式：</w:t>
      </w:r>
    </w:p>
    <w:p>
      <w:pPr>
        <w:spacing w:line="360" w:lineRule="auto"/>
        <w:ind w:left="210" w:firstLine="412" w:leftChars="100" w:firstLineChars="196"/>
        <w:rPr>
          <w:rFonts w:asciiTheme="majorEastAsia" w:eastAsiaTheme="majorEastAsia" w:hAnsiTheme="majorEastAsia"/>
          <w:szCs w:val="21"/>
        </w:rPr>
      </w:pPr>
      <w:r>
        <w:rPr>
          <w:rFonts w:asciiTheme="majorEastAsia" w:eastAsiaTheme="majorEastAsia" w:hAnsiTheme="majorEastAsia"/>
          <w:szCs w:val="21"/>
        </w:rPr>
        <w:t>a.名片、宣传册、广告标语等；</w:t>
      </w:r>
    </w:p>
    <w:p>
      <w:pPr>
        <w:spacing w:line="360" w:lineRule="auto"/>
        <w:ind w:left="210" w:firstLine="412" w:leftChars="100" w:firstLineChars="196"/>
        <w:rPr>
          <w:rFonts w:asciiTheme="majorEastAsia" w:eastAsiaTheme="majorEastAsia" w:hAnsiTheme="majorEastAsia"/>
          <w:szCs w:val="21"/>
        </w:rPr>
      </w:pPr>
      <w:r>
        <w:rPr>
          <w:rFonts w:asciiTheme="majorEastAsia" w:eastAsiaTheme="majorEastAsia" w:hAnsiTheme="majorEastAsia"/>
          <w:szCs w:val="21"/>
        </w:rPr>
        <w:t>b.案例介绍、推广等；</w:t>
      </w:r>
    </w:p>
    <w:p>
      <w:pPr>
        <w:spacing w:line="360" w:lineRule="auto"/>
        <w:ind w:left="210" w:firstLine="412" w:leftChars="100" w:firstLineChars="196"/>
        <w:rPr>
          <w:rFonts w:asciiTheme="majorEastAsia" w:eastAsiaTheme="majorEastAsia" w:hAnsiTheme="majorEastAsia"/>
          <w:szCs w:val="21"/>
        </w:rPr>
      </w:pPr>
      <w:r>
        <w:rPr>
          <w:rFonts w:asciiTheme="majorEastAsia" w:eastAsiaTheme="majorEastAsia" w:hAnsiTheme="majorEastAsia" w:hint="eastAsia"/>
          <w:szCs w:val="21"/>
        </w:rPr>
        <w:t>c.工作</w:t>
      </w:r>
      <w:r>
        <w:rPr>
          <w:rFonts w:asciiTheme="majorEastAsia" w:eastAsiaTheme="majorEastAsia" w:hAnsiTheme="majorEastAsia"/>
          <w:szCs w:val="21"/>
        </w:rPr>
        <w:t>人员向其他消费群体宣传。</w:t>
      </w:r>
    </w:p>
    <w:p>
      <w:pPr>
        <w:spacing w:line="360" w:lineRule="auto"/>
        <w:rPr>
          <w:rFonts w:asciiTheme="majorEastAsia" w:eastAsiaTheme="majorEastAsia" w:hAnsiTheme="majorEastAsia"/>
          <w:b/>
          <w:bCs/>
          <w:szCs w:val="21"/>
        </w:rPr>
      </w:pPr>
      <w:r>
        <w:rPr>
          <w:rFonts w:asciiTheme="majorEastAsia" w:eastAsiaTheme="majorEastAsia" w:hAnsiTheme="majorEastAsia" w:hint="eastAsia"/>
          <w:b/>
          <w:bCs/>
          <w:szCs w:val="21"/>
        </w:rPr>
        <w:t>51. 供应商违法责任</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5</w:t>
      </w:r>
      <w:r>
        <w:rPr>
          <w:rFonts w:asciiTheme="majorEastAsia" w:eastAsiaTheme="majorEastAsia" w:hAnsiTheme="majorEastAsia"/>
          <w:szCs w:val="21"/>
        </w:rPr>
        <w:t>1.1</w:t>
      </w:r>
      <w:r>
        <w:rPr>
          <w:rFonts w:asciiTheme="majorEastAsia" w:eastAsiaTheme="majorEastAsia" w:hAnsiTheme="majorEastAsia" w:hint="eastAsia"/>
          <w:szCs w:val="21"/>
        </w:rPr>
        <w:t>《深圳经济特区政府采购条例》第五十七条 供应商在政府采购中，有下列行为之一的，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构成犯罪的，依法追究刑事责任：</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（1）在采购活动中应当回避而未回避的；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（2）未按本条例规定签订、履行采购合同，造成严重后果的；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（3）隐瞒真实情况，提供虚假资料的；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（4）以非法手段排斥其他供应商参与竞争的；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（5）与其他采购参加人串通投标的；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（6）恶意投诉的；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（7）向采购项目相关人行贿或者提供其他不当利益的；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（8）阻碍、抗拒主管部门监督检查的；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（9）其他违反本条例规定的行为。</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5</w:t>
      </w:r>
      <w:r>
        <w:rPr>
          <w:rFonts w:asciiTheme="majorEastAsia" w:eastAsiaTheme="majorEastAsia" w:hAnsiTheme="majorEastAsia"/>
          <w:szCs w:val="21"/>
        </w:rPr>
        <w:t xml:space="preserve">1.2 </w:t>
      </w:r>
      <w:r>
        <w:rPr>
          <w:rFonts w:asciiTheme="majorEastAsia" w:eastAsiaTheme="majorEastAsia" w:hAnsiTheme="majorEastAsia" w:hint="eastAsia"/>
          <w:szCs w:val="21"/>
        </w:rPr>
        <w:t>根据《深圳市财政局关于明确政府采购保证金管理工作的通知》（深财购[2019]42号）的要求，供应商在政府采购活动中出现《深圳经济特区政府采购条例实施细则》第八十四条所列情形的，</w:t>
      </w:r>
      <w:bookmarkStart w:id="80" w:name="_Hlk72440769"/>
      <w:r>
        <w:rPr>
          <w:rFonts w:asciiTheme="majorEastAsia" w:eastAsiaTheme="majorEastAsia" w:hAnsiTheme="majorEastAsia" w:hint="eastAsia"/>
          <w:szCs w:val="21"/>
        </w:rPr>
        <w:t>采购人或采购代理机构</w:t>
      </w:r>
      <w:bookmarkEnd w:id="80"/>
      <w:r>
        <w:rPr>
          <w:rFonts w:asciiTheme="majorEastAsia" w:eastAsiaTheme="majorEastAsia" w:hAnsiTheme="majorEastAsia" w:hint="eastAsia"/>
          <w:szCs w:val="21"/>
        </w:rPr>
        <w:t>可将有关情况报同级财政部门，由财政部门根据实际情况记入供应商诚信档案，予以通报：</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hint="eastAsia"/>
          <w:szCs w:val="21"/>
        </w:rPr>
        <w:t>（1</w:t>
      </w:r>
      <w:r>
        <w:rPr>
          <w:rFonts w:asciiTheme="majorEastAsia" w:eastAsiaTheme="majorEastAsia" w:hAnsiTheme="majorEastAsia"/>
          <w:szCs w:val="21"/>
        </w:rPr>
        <w:t>）投标截止后，撤销投标的；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w:t>
      </w:r>
      <w:r>
        <w:rPr>
          <w:rFonts w:asciiTheme="majorEastAsia" w:eastAsiaTheme="majorEastAsia" w:hAnsiTheme="majorEastAsia" w:hint="eastAsia"/>
          <w:szCs w:val="21"/>
        </w:rPr>
        <w:t>2</w:t>
      </w:r>
      <w:r>
        <w:rPr>
          <w:rFonts w:asciiTheme="majorEastAsia" w:eastAsiaTheme="majorEastAsia" w:hAnsiTheme="majorEastAsia"/>
          <w:szCs w:val="21"/>
        </w:rPr>
        <w:t>）中标后无正当理由未在规定期限内签订合同的；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w:t>
      </w:r>
      <w:r>
        <w:rPr>
          <w:rFonts w:asciiTheme="majorEastAsia" w:eastAsiaTheme="majorEastAsia" w:hAnsiTheme="majorEastAsia" w:hint="eastAsia"/>
          <w:szCs w:val="21"/>
        </w:rPr>
        <w:t>3</w:t>
      </w:r>
      <w:r>
        <w:rPr>
          <w:rFonts w:asciiTheme="majorEastAsia" w:eastAsiaTheme="majorEastAsia" w:hAnsiTheme="majorEastAsia"/>
          <w:szCs w:val="21"/>
        </w:rPr>
        <w:t>）将中标项目转让给他人、或者在投标文件中未说明且未经采购人、采购招标机构同意，将中标项目分包给他人的；</w:t>
      </w:r>
    </w:p>
    <w:p>
      <w:pPr>
        <w:spacing w:line="360" w:lineRule="auto"/>
        <w:ind w:firstLine="412" w:firstLineChars="196"/>
        <w:rPr>
          <w:rFonts w:asciiTheme="majorEastAsia" w:eastAsiaTheme="majorEastAsia" w:hAnsiTheme="majorEastAsia"/>
          <w:szCs w:val="21"/>
        </w:rPr>
      </w:pPr>
      <w:r>
        <w:rPr>
          <w:rFonts w:asciiTheme="majorEastAsia" w:eastAsiaTheme="majorEastAsia" w:hAnsiTheme="majorEastAsia"/>
          <w:szCs w:val="21"/>
        </w:rPr>
        <w:t>（</w:t>
      </w:r>
      <w:r>
        <w:rPr>
          <w:rFonts w:asciiTheme="majorEastAsia" w:eastAsiaTheme="majorEastAsia" w:hAnsiTheme="majorEastAsia" w:hint="eastAsia"/>
          <w:szCs w:val="21"/>
        </w:rPr>
        <w:t>4</w:t>
      </w:r>
      <w:r>
        <w:rPr>
          <w:rFonts w:asciiTheme="majorEastAsia" w:eastAsiaTheme="majorEastAsia" w:hAnsiTheme="majorEastAsia"/>
          <w:szCs w:val="21"/>
        </w:rPr>
        <w:t>）拒绝履行合同义务的</w:t>
      </w:r>
      <w:r>
        <w:rPr>
          <w:rFonts w:asciiTheme="majorEastAsia" w:eastAsiaTheme="majorEastAsia" w:hAnsiTheme="majorEastAsia" w:hint="eastAsia"/>
          <w:szCs w:val="21"/>
        </w:rPr>
        <w:t>。</w:t>
      </w:r>
    </w:p>
    <w:p>
      <w:pPr>
        <w:keepNext/>
        <w:keepLines/>
        <w:widowControl/>
        <w:numPr>
          <w:ilvl w:val="0"/>
          <w:numId w:val="2"/>
        </w:numPr>
        <w:adjustRightInd w:val="0"/>
        <w:spacing w:before="156" w:beforeLines="50" w:after="156" w:afterLines="50" w:line="360" w:lineRule="auto"/>
        <w:ind w:left="562" w:hanging="562"/>
        <w:jc w:val="center"/>
        <w:textAlignment w:val="baseline"/>
        <w:outlineLvl w:val="1"/>
        <w:rPr>
          <w:rFonts w:asciiTheme="majorEastAsia" w:eastAsiaTheme="majorEastAsia" w:hAnsiTheme="majorEastAsia"/>
          <w:b/>
          <w:bCs/>
          <w:kern w:val="0"/>
          <w:sz w:val="28"/>
          <w:szCs w:val="28"/>
        </w:rPr>
      </w:pPr>
      <w:bookmarkEnd w:id="64"/>
      <w:r>
        <w:rPr>
          <w:rFonts w:asciiTheme="majorEastAsia" w:eastAsiaTheme="majorEastAsia" w:hAnsiTheme="majorEastAsia" w:hint="eastAsia"/>
          <w:b/>
          <w:bCs/>
          <w:kern w:val="0"/>
          <w:sz w:val="28"/>
          <w:szCs w:val="28"/>
        </w:rPr>
        <w:t>质疑处理</w:t>
      </w:r>
    </w:p>
    <w:p>
      <w:pPr>
        <w:spacing w:line="360" w:lineRule="auto"/>
        <w:rPr>
          <w:rFonts w:asciiTheme="majorEastAsia" w:eastAsiaTheme="majorEastAsia" w:hAnsiTheme="majorEastAsia"/>
          <w:b/>
          <w:bCs/>
          <w:szCs w:val="21"/>
        </w:rPr>
      </w:pPr>
      <w:bookmarkStart w:id="81" w:name="_Hlk72439706"/>
      <w:r>
        <w:rPr>
          <w:rFonts w:asciiTheme="majorEastAsia" w:eastAsiaTheme="majorEastAsia" w:hAnsiTheme="majorEastAsia" w:hint="eastAsia"/>
          <w:b/>
          <w:bCs/>
          <w:szCs w:val="21"/>
        </w:rPr>
        <w:t>52.质疑提出与答复</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 xml:space="preserve">    52.1提出质疑</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 xml:space="preserve">    参与政府采购活动的供应商认为自己的权益在采购活动中受到损害的，应当自知道或者应当知道其权益受到损害之日起七个工作日内向采购人、采购代理机构以书面形式提出质疑。</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 xml:space="preserve">    52.2</w:t>
      </w:r>
      <w:r>
        <w:rPr>
          <w:rFonts w:asciiTheme="majorEastAsia" w:eastAsiaTheme="majorEastAsia" w:hAnsiTheme="majorEastAsia"/>
          <w:szCs w:val="21"/>
        </w:rPr>
        <w:t>法律依据</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 xml:space="preserve">    《中华人民共和国政府采购法》、《中华人民共和国政府采购法实施条例》、</w:t>
      </w:r>
      <w:r>
        <w:rPr>
          <w:rFonts w:asciiTheme="majorEastAsia" w:eastAsiaTheme="majorEastAsia" w:hAnsiTheme="majorEastAsia"/>
          <w:szCs w:val="21"/>
        </w:rPr>
        <w:t>《</w:t>
      </w:r>
      <w:r>
        <w:rPr>
          <w:rFonts w:asciiTheme="majorEastAsia" w:eastAsiaTheme="majorEastAsia" w:hAnsiTheme="majorEastAsia" w:hint="eastAsia"/>
          <w:szCs w:val="21"/>
        </w:rPr>
        <w:t>深圳经济特区政府采购</w:t>
      </w:r>
      <w:r>
        <w:rPr>
          <w:rFonts w:asciiTheme="majorEastAsia" w:eastAsiaTheme="majorEastAsia" w:hAnsiTheme="majorEastAsia"/>
          <w:szCs w:val="21"/>
        </w:rPr>
        <w:t>条例</w:t>
      </w:r>
      <w:r>
        <w:rPr>
          <w:rFonts w:asciiTheme="majorEastAsia" w:eastAsiaTheme="majorEastAsia" w:hAnsiTheme="majorEastAsia" w:hint="eastAsia"/>
          <w:szCs w:val="21"/>
        </w:rPr>
        <w:t>》、《深圳经济特区政府采购条例实施细则》、《政府采购质疑和投诉办法》（财政部令第94号）和其他有关法律法规规定。</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52.3质疑条件</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 xml:space="preserve">    52.3.1提出质疑的供应商应当是参与所质疑项目采购活动的供应商；</w:t>
      </w:r>
      <w:bookmarkStart w:id="82" w:name="_Hlk75374941"/>
      <w:r>
        <w:rPr>
          <w:rFonts w:asciiTheme="majorEastAsia" w:eastAsiaTheme="majorEastAsia" w:hAnsiTheme="majorEastAsia" w:hint="eastAsia"/>
          <w:szCs w:val="21"/>
        </w:rPr>
        <w:t>以联合体形式参与的，质疑应当由组成联合体的所有成员共同提出</w:t>
      </w:r>
      <w:bookmarkEnd w:id="82"/>
      <w:r>
        <w:rPr>
          <w:rFonts w:asciiTheme="majorEastAsia" w:eastAsiaTheme="majorEastAsia" w:hAnsiTheme="majorEastAsia" w:hint="eastAsia"/>
          <w:szCs w:val="21"/>
        </w:rPr>
        <w:t>；</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 xml:space="preserve">    52.3.2应当在法定质疑期内一次性提出针对同一采购程序环节的质疑，法定质疑期为自知道或应当知道权益受到损害之日起7个工作日内。应当知道其权益受到损害之日是指：对招标文件的质疑，为招标文件公布之日；对采购过程的质疑，为各采购程序环节结束之日；对中标结果以及评审委员会组成人员的质疑，为中标结果公示之日；</w:t>
      </w:r>
    </w:p>
    <w:p>
      <w:pPr>
        <w:spacing w:line="360" w:lineRule="auto"/>
        <w:ind w:firstLine="420"/>
        <w:rPr>
          <w:rFonts w:asciiTheme="majorEastAsia" w:eastAsiaTheme="majorEastAsia" w:hAnsiTheme="majorEastAsia"/>
          <w:szCs w:val="21"/>
        </w:rPr>
      </w:pPr>
      <w:r>
        <w:rPr>
          <w:rFonts w:asciiTheme="majorEastAsia" w:eastAsiaTheme="majorEastAsia" w:hAnsiTheme="majorEastAsia" w:hint="eastAsia"/>
          <w:szCs w:val="21"/>
        </w:rPr>
        <w:t>52.3.3应提交书面质疑函，质疑函应当包括以下内容：</w:t>
      </w:r>
    </w:p>
    <w:p>
      <w:pPr>
        <w:spacing w:line="360" w:lineRule="auto"/>
        <w:ind w:firstLine="420"/>
        <w:rPr>
          <w:rFonts w:asciiTheme="majorEastAsia" w:eastAsiaTheme="majorEastAsia" w:hAnsiTheme="majorEastAsia"/>
          <w:szCs w:val="21"/>
        </w:rPr>
      </w:pPr>
      <w:r>
        <w:rPr>
          <w:rFonts w:asciiTheme="majorEastAsia" w:eastAsiaTheme="majorEastAsia" w:hAnsiTheme="majorEastAsia" w:hint="eastAsia"/>
          <w:szCs w:val="21"/>
        </w:rPr>
        <w:t>（1）供应商的名称（或者姓名）、地址、邮编、邮箱、联系人及联系电话；</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（2）质疑项目的名称、编号；</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（3）具体、明确的质疑对象、质疑事项和质疑请求；</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（4）因质疑事项而受损害的权益；</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（5）事实依据；</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（6）必要的法律依据；</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（7）提出质疑的日期。</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供应商为自然人的，应当由本人签字；供应商为法人或者其他组织的，应当由法定代表人（负责人），或者其授权代理人签字或者盖章，并加盖公章。</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52.4提交</w:t>
      </w:r>
      <w:r>
        <w:rPr>
          <w:rFonts w:asciiTheme="majorEastAsia" w:eastAsiaTheme="majorEastAsia" w:hAnsiTheme="majorEastAsia"/>
          <w:szCs w:val="21"/>
        </w:rPr>
        <w:t>材料</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供应商质疑实行实名制。供应商为自然人的，应当提交本人身份证复印件；供应商为法人或者其他组织的，应当根据自身性质提交营业执照复印件或者其他证明文件（如事业单位法人证书等）复印件。</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供应商可以委托代理人进行质疑。</w:t>
      </w:r>
      <w:r>
        <w:rPr>
          <w:rFonts w:asciiTheme="majorEastAsia" w:eastAsiaTheme="majorEastAsia" w:hAnsiTheme="majorEastAsia"/>
          <w:szCs w:val="21"/>
        </w:rPr>
        <w:t>其授权委托书应当载明代理人的姓名或者名称、代理事项、具体权限、期限和相关事项。供应商为自然人的，应当由本人签字；供应商为法人或者其他组织的，应当由法定代表人、主要负责人签字或者盖章，并加盖公章。</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52.5提交方式</w:t>
      </w:r>
    </w:p>
    <w:p>
      <w:pPr>
        <w:spacing w:line="360" w:lineRule="auto"/>
        <w:ind w:firstLine="420"/>
        <w:rPr>
          <w:rFonts w:asciiTheme="majorEastAsia" w:eastAsiaTheme="majorEastAsia" w:hAnsiTheme="majorEastAsia"/>
          <w:szCs w:val="21"/>
        </w:rPr>
      </w:pPr>
      <w:r>
        <w:rPr>
          <w:rFonts w:asciiTheme="majorEastAsia" w:eastAsiaTheme="majorEastAsia" w:hAnsiTheme="majorEastAsia" w:hint="eastAsia"/>
          <w:szCs w:val="21"/>
        </w:rPr>
        <w:t>5</w:t>
      </w:r>
      <w:r>
        <w:rPr>
          <w:rFonts w:asciiTheme="majorEastAsia" w:eastAsiaTheme="majorEastAsia" w:hAnsiTheme="majorEastAsia"/>
          <w:szCs w:val="21"/>
        </w:rPr>
        <w:t>2.5.1</w:t>
      </w:r>
      <w:r>
        <w:rPr>
          <w:rFonts w:asciiTheme="majorEastAsia" w:eastAsiaTheme="majorEastAsia" w:hAnsiTheme="majorEastAsia" w:hint="eastAsia"/>
          <w:szCs w:val="21"/>
        </w:rPr>
        <w:t>供应商登录“深圳政府采购智慧平台用户网上办事子系统（http://zfcg.szggzy.com/TPBidder/memberLogin）”，在“【我的项目】→【项目流程】→【质疑】”中提出质疑。</w:t>
      </w:r>
    </w:p>
    <w:p>
      <w:pPr>
        <w:spacing w:line="360" w:lineRule="auto"/>
        <w:ind w:firstLine="420" w:firstLineChars="200"/>
        <w:rPr>
          <w:rFonts w:asciiTheme="majorEastAsia" w:eastAsiaTheme="majorEastAsia" w:hAnsiTheme="majorEastAsia"/>
          <w:b/>
          <w:bCs/>
          <w:szCs w:val="21"/>
        </w:rPr>
      </w:pPr>
      <w:r>
        <w:rPr>
          <w:rFonts w:asciiTheme="majorEastAsia" w:eastAsiaTheme="majorEastAsia" w:hAnsiTheme="majorEastAsia" w:hint="eastAsia"/>
          <w:szCs w:val="21"/>
        </w:rPr>
        <w:t>5</w:t>
      </w:r>
      <w:r>
        <w:rPr>
          <w:rFonts w:asciiTheme="majorEastAsia" w:eastAsiaTheme="majorEastAsia" w:hAnsiTheme="majorEastAsia"/>
          <w:szCs w:val="21"/>
        </w:rPr>
        <w:t>2.5.2</w:t>
      </w:r>
      <w:r>
        <w:rPr>
          <w:rFonts w:asciiTheme="majorEastAsia" w:eastAsiaTheme="majorEastAsia" w:hAnsiTheme="majorEastAsia" w:hint="eastAsia"/>
          <w:szCs w:val="21"/>
        </w:rPr>
        <w:t>同时，请质疑供应商根据深圳政府采购智慧平台（http://zfcg.szggzy.com/）所发布的质疑指引、质疑函模板填写质疑函并提交质疑材料。</w:t>
      </w:r>
      <w:r>
        <w:rPr>
          <w:rFonts w:asciiTheme="majorEastAsia" w:eastAsiaTheme="majorEastAsia" w:hAnsiTheme="majorEastAsia" w:hint="eastAsia"/>
          <w:bCs/>
          <w:szCs w:val="21"/>
        </w:rPr>
        <w:t>地址：深圳市中正招标有限公司（深圳市福田区民田路171号新华保险大厦903），质疑咨询电话：0755-83026699。</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52.6收文办理</w:t>
      </w:r>
      <w:r>
        <w:rPr>
          <w:rFonts w:asciiTheme="majorEastAsia" w:eastAsiaTheme="majorEastAsia" w:hAnsiTheme="majorEastAsia"/>
          <w:szCs w:val="21"/>
        </w:rPr>
        <w:t>程序</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52.6.1供应商提交的质疑符合受理条件的，采购代理机构自收到质疑材料之日起即为受理，应当向供应商出具质疑函收文回执并可以要求其递交质疑的法定代表人（负责人）或者授权代理人签署质疑文书送达地址确认书。</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52.6.2供应商提交的质疑材料不符合质疑条件的，视情况处理：</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供应商提交的质疑材料不全或者未按要求签字或者盖章的，采购代理机构应当一次性告知供应商需补正的内容和补正期限。</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供应商提交的质疑存在下列情形之一的，不予受理：</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（1）质疑主体不满足要求的；</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（2）供应商自身权益未受到损害的；</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（3）供应商未在法定质疑期限内提出质疑的；</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（4）质疑材料不全或者未按要求签字或者盖章的情况下，要求补正后，逾期未补正或者补正后仍不符合规定的；</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（5）其他不符合受理条件情形的。</w:t>
      </w:r>
    </w:p>
    <w:p>
      <w:pPr>
        <w:spacing w:line="360" w:lineRule="auto"/>
        <w:ind w:firstLine="420" w:firstLineChars="200"/>
        <w:rPr>
          <w:rFonts w:asciiTheme="majorEastAsia" w:eastAsiaTheme="majorEastAsia" w:hAnsiTheme="majorEastAsia"/>
          <w:szCs w:val="21"/>
        </w:rPr>
      </w:pPr>
      <w:r>
        <w:rPr>
          <w:rFonts w:asciiTheme="majorEastAsia" w:eastAsiaTheme="majorEastAsia" w:hAnsiTheme="majorEastAsia" w:hint="eastAsia"/>
          <w:szCs w:val="21"/>
        </w:rPr>
        <w:t>质疑事项不予受理的，采购代理机构应当向供应商出具不符合质疑条件告知书。</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 xml:space="preserve">  52.7质疑答复时限</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 xml:space="preserve">    自收文之日起七个工作日内。</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 xml:space="preserve">  52.8投诉</w:t>
      </w:r>
    </w:p>
    <w:p>
      <w:pPr>
        <w:spacing w:line="360" w:lineRule="auto"/>
        <w:rPr>
          <w:rFonts w:asciiTheme="majorEastAsia" w:eastAsiaTheme="majorEastAsia" w:hAnsiTheme="majorEastAsia"/>
          <w:szCs w:val="21"/>
        </w:rPr>
      </w:pPr>
      <w:r>
        <w:rPr>
          <w:rFonts w:asciiTheme="majorEastAsia" w:eastAsiaTheme="majorEastAsia" w:hAnsiTheme="majorEastAsia" w:hint="eastAsia"/>
          <w:szCs w:val="21"/>
        </w:rPr>
        <w:t xml:space="preserve">    对质疑答复不满意或者未在规定时间内答复的，提出质疑的供应商可以在答复期满后15个工作日内向同级财政部门投诉。</w:t>
      </w:r>
      <w:bookmarkEnd w:id="81"/>
    </w:p>
    <w:p>
      <w:pPr>
        <w:widowControl/>
        <w:jc w:val="left"/>
        <w:rPr>
          <w:rFonts w:ascii="宋体" w:hAnsi="宋体"/>
          <w:b/>
          <w:bCs/>
          <w:kern w:val="0"/>
          <w:sz w:val="24"/>
          <w:szCs w:val="20"/>
        </w:rPr>
      </w:pPr>
    </w:p>
    <w:sectPr>
      <w:pgSz w:w="11906" w:h="16838"/>
      <w:pgMar w:top="1440" w:right="1417" w:bottom="1440" w:left="1417" w:header="851" w:footer="992"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隶书">
    <w:panose1 w:val="02010509060101010101"/>
    <w:charset w:val="86"/>
    <w:family w:val="modern"/>
    <w:pitch w:val="default"/>
    <w:sig w:usb0="00000001" w:usb1="080E0000" w:usb2="00000000" w:usb3="00000000" w:csb0="00040000" w:csb1="00000000"/>
  </w:font>
  <w:font w:name="Arial Unicode MS">
    <w:altName w:val="宋体"/>
    <w:panose1 w:val="020B0604020202020204"/>
    <w:charset w:val="86"/>
    <w:family w:val="swiss"/>
    <w:pitch w:val="default"/>
    <w:sig w:usb0="00000000" w:usb1="00000000" w:usb2="0000003F" w:usb3="00000000" w:csb0="603F01FF" w:csb1="FFFF0000"/>
  </w:font>
  <w:font w:name="仿宋_GB2312">
    <w:panose1 w:val="02010609030101010101"/>
    <w:charset w:val="86"/>
    <w:family w:val="modern"/>
    <w:pitch w:val="default"/>
    <w:sig w:usb0="00000001" w:usb1="080E0000" w:usb2="00000000" w:usb3="00000000" w:csb0="00040000" w:csb1="00000000"/>
  </w:font>
  <w:font w:name="??">
    <w:altName w:val="Times New Roman"/>
    <w:panose1 w:val="00000000000000000000"/>
    <w:charset w:val="00"/>
    <w:family w:val="auto"/>
    <w:pitch w:val="default"/>
    <w:sig w:usb0="00000000" w:usb1="00000000" w:usb2="00000000" w:usb3="00000000" w:csb0="00040001" w:csb1="00000000"/>
  </w:font>
  <w:font w:name="ˎ̥">
    <w:altName w:val="微软雅黑"/>
    <w:panose1 w:val="00000000000000000000"/>
    <w:charset w:val="00"/>
    <w:family w:val="auto"/>
    <w:pitch w:val="default"/>
    <w:sig w:usb0="00000000" w:usb1="00000000" w:usb2="00000000" w:usb3="00000000" w:csb0="00040001" w:csb1="00000000"/>
  </w:font>
  <w:font w:name="微软雅黑">
    <w:panose1 w:val="020B0503020204020204"/>
    <w:charset w:val="86"/>
    <w:family w:val="auto"/>
    <w:pitch w:val="default"/>
    <w:sig w:usb0="80000287" w:usb1="2ACF3C50" w:usb2="00000016" w:usb3="00000000" w:csb0="0004001F" w:csb1="00000000"/>
  </w:font>
  <w:font w:name="Cambria">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Arial (W1)">
    <w:altName w:val="Arial"/>
    <w:panose1 w:val="00000000000000000000"/>
    <w:charset w:val="00"/>
    <w:family w:val="swiss"/>
    <w:pitch w:val="default"/>
    <w:sig w:usb0="00000000" w:usb1="00000000" w:usb2="00000009" w:usb3="00000000" w:csb0="000001FF" w:csb1="00000000"/>
  </w:font>
  <w:font w:name="Tahoma">
    <w:panose1 w:val="020B0604030504040204"/>
    <w:charset w:val="00"/>
    <w:family w:val="swiss"/>
    <w:pitch w:val="default"/>
    <w:sig w:usb0="E1002EFF" w:usb1="C000605B" w:usb2="00000029" w:usb3="00000000" w:csb0="200101FF" w:csb1="20280000"/>
  </w:font>
  <w:font w:name="文鼎粗黑">
    <w:altName w:val="黑体"/>
    <w:panose1 w:val="00000000000000000000"/>
    <w:charset w:val="86"/>
    <w:family w:val="modern"/>
    <w:pitch w:val="default"/>
    <w:sig w:usb0="00000000" w:usb1="00000000" w:usb2="00000010" w:usb3="00000000" w:csb0="00040000" w:csb1="00000000"/>
  </w:font>
  <w:font w:name="Helvetica">
    <w:altName w:val="Arial"/>
    <w:panose1 w:val="020B0604020202020204"/>
    <w:charset w:val="00"/>
    <w:family w:val="swiss"/>
    <w:pitch w:val="default"/>
    <w:sig w:usb0="00000000" w:usb1="00000000" w:usb2="00000000" w:usb3="00000000" w:csb0="00000001" w:csb1="00000000"/>
  </w:font>
  <w:font w:name="长城仿宋">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幼圆">
    <w:panose1 w:val="02010509060101010101"/>
    <w:charset w:val="86"/>
    <w:family w:val="modern"/>
    <w:pitch w:val="default"/>
    <w:sig w:usb0="00000001" w:usb1="080E0000" w:usb2="00000000" w:usb3="00000000" w:csb0="00040000" w:csb1="00000000"/>
  </w:font>
  <w:font w:name="汉仪细等线简">
    <w:altName w:val="宋体"/>
    <w:panose1 w:val="00000000000000000000"/>
    <w:charset w:val="86"/>
    <w:family w:val="modern"/>
    <w:pitch w:val="default"/>
    <w:sig w:usb0="00000000" w:usb1="00000000" w:usb2="00000012" w:usb3="00000000" w:csb0="00040000" w:csb1="00000000"/>
  </w:font>
  <w:font w:name="H Yb 2gj">
    <w:altName w:val="宋体"/>
    <w:panose1 w:val="00000000000000000000"/>
    <w:charset w:val="86"/>
    <w:family w:val="auto"/>
    <w:pitch w:val="default"/>
    <w:sig w:usb0="00000000" w:usb1="00000000" w:usb2="00000010" w:usb3="00000000" w:csb0="00040000" w:csb1="00000000"/>
  </w:font>
  <w:font w:name="新宋体">
    <w:panose1 w:val="02010609030101010101"/>
    <w:charset w:val="86"/>
    <w:family w:val="modern"/>
    <w:pitch w:val="default"/>
    <w:sig w:usb0="00000203" w:usb1="288F0000" w:usb2="00000006" w:usb3="00000000" w:csb0="00040001" w:csb1="00000000"/>
  </w:font>
  <w:font w:name="华文仿宋">
    <w:panose1 w:val="02010600040101010101"/>
    <w:charset w:val="86"/>
    <w:family w:val="auto"/>
    <w:pitch w:val="default"/>
    <w:sig w:usb0="00000287" w:usb1="080F0000" w:usb2="00000000" w:usb3="00000000" w:csb0="0004009F" w:csb1="DFD70000"/>
  </w:font>
  <w:font w:name="MS Mincho">
    <w:altName w:val="Yu Gothic UI"/>
    <w:panose1 w:val="02020609040205080304"/>
    <w:charset w:val="80"/>
    <w:family w:val="modern"/>
    <w:pitch w:val="default"/>
    <w:sig w:usb0="00000000" w:usb1="00000000" w:usb2="00000012" w:usb3="00000000" w:csb0="4002009F" w:csb1="DFD70000"/>
  </w:font>
  <w:font w:name="Yu Gothic UI">
    <w:panose1 w:val="020B0500000000000000"/>
    <w:charset w:val="80"/>
    <w:family w:val="auto"/>
    <w:pitch w:val="default"/>
    <w:sig w:usb0="E00002FF" w:usb1="2AC7FDFF" w:usb2="00000016" w:usb3="00000000" w:csb0="2002009F" w:csb1="00000000"/>
  </w:font>
  <w:font w:name="Segoe UI Symbol">
    <w:panose1 w:val="020B0502040204020203"/>
    <w:charset w:val="00"/>
    <w:family w:val="swiss"/>
    <w:pitch w:val="default"/>
    <w:sig w:usb0="800001E3" w:usb1="1200FFEF" w:usb2="00040000" w:usb3="04000000" w:csb0="00000001" w:csb1="4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id w:val="8538497"/>
      <w:richText/>
    </w:sdtPr>
    <w:sdtContent>
      <w:p>
        <w:pPr>
          <w:pStyle w:val="Footer"/>
          <w:jc w:val="center"/>
        </w:pPr>
        <w:r>
          <w:fldChar w:fldCharType="begin"/>
        </w:r>
        <w:r>
          <w:instrText xml:space="preserve"> PAGE   \* MERGEFORMAT </w:instrText>
        </w:r>
        <w:r>
          <w:fldChar w:fldCharType="separate"/>
        </w:r>
        <w:r>
          <w:rPr>
            <w:lang w:val="zh-CN"/>
          </w:rPr>
          <w:t>86</w:t>
        </w:r>
        <w:r>
          <w:rPr>
            <w:lang w:val="zh-CN"/>
          </w:rPr>
          <w:fldChar w:fldCharType="end"/>
        </w:r>
      </w:p>
    </w:sdtContent>
  </w:sdt>
  <w:p>
    <w:pPr>
      <w:pStyle w:val="Foote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000003"/>
    <w:multiLevelType w:val="multilevel"/>
    <w:tmpl w:val="00000003"/>
    <w:lvl w:ilvl="0">
      <w:start w:val="1"/>
      <w:numFmt w:val="japaneseCounting"/>
      <w:lvlText w:val="第%1章"/>
      <w:lvlJc w:val="left"/>
      <w:pPr>
        <w:tabs>
          <w:tab w:val="left" w:pos="720"/>
        </w:tabs>
        <w:ind w:left="720" w:hanging="7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
    <w:nsid w:val="3E975147"/>
    <w:multiLevelType w:val="singleLevel"/>
    <w:tmpl w:val="3E975147"/>
    <w:lvl w:ilvl="0">
      <w:start w:val="1"/>
      <w:numFmt w:val="decimalEnclosedCircleChinese"/>
      <w:suff w:val="nothing"/>
      <w:lvlText w:val="%1　"/>
      <w:lvlJc w:val="left"/>
      <w:pPr>
        <w:ind w:left="0" w:firstLine="400"/>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zoom w:percent="105"/>
  <w:bordersDoNotSurroundHeader/>
  <w:bordersDoNotSurroundFooter/>
  <w:trackRevisions/>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U3ZGNlYjZjMmI5Mjg1NDNkNGNjYmFkZTViNDJiZWMifQ=="/>
  </w:docVars>
  <m:mathPr>
    <m:mathFont m:val="Cambria Math"/>
    <m:smallFrac/>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unhideWhenUsed="0" w:qFormat="1"/>
    <w:lsdException w:name="index 2"/>
    <w:lsdException w:name="index 3"/>
    <w:lsdException w:name="index 4"/>
    <w:lsdException w:name="index 5"/>
    <w:lsdException w:name="index 6"/>
    <w:lsdException w:name="index 7"/>
    <w:lsdException w:name="index 8"/>
    <w:lsdException w:name="index 9"/>
    <w:lsdException w:name="toc 1" w:semiHidden="0" w:uiPriority="0" w:unhideWhenUsed="0" w:qFormat="1"/>
    <w:lsdException w:name="toc 2" w:semiHidden="0" w:uiPriority="0" w:unhideWhenUsed="0" w:qFormat="1"/>
    <w:lsdException w:name="toc 3" w:uiPriority="0" w:unhideWhenUsed="0" w:qFormat="1"/>
    <w:lsdException w:name="toc 4" w:uiPriority="0" w:unhideWhenUsed="0" w:qFormat="1"/>
    <w:lsdException w:name="toc 5" w:uiPriority="0" w:unhideWhenUsed="0" w:qFormat="1"/>
    <w:lsdException w:name="toc 6" w:uiPriority="0" w:unhideWhenUsed="0" w:qFormat="1"/>
    <w:lsdException w:name="toc 7" w:uiPriority="0" w:unhideWhenUsed="0" w:qFormat="1"/>
    <w:lsdException w:name="toc 8" w:uiPriority="0" w:unhideWhenUsed="0" w:qFormat="1"/>
    <w:lsdException w:name="toc 9" w:uiPriority="0" w:unhideWhenUsed="0" w:qFormat="1"/>
    <w:lsdException w:name="Normal Indent" w:semiHidden="0" w:uiPriority="0" w:unhideWhenUsed="0" w:qFormat="1"/>
    <w:lsdException w:name="footnote text"/>
    <w:lsdException w:name="annotation text" w:semiHidden="0" w:uiPriority="0" w:unhideWhenUsed="0" w:qFormat="1"/>
    <w:lsdException w:name="header" w:semiHidden="0" w:qFormat="1"/>
    <w:lsdException w:name="footer" w:semiHidden="0" w:qFormat="1"/>
    <w:lsdException w:name="index heading"/>
    <w:lsdException w:name="caption" w:semiHidden="0" w:uiPriority="0" w:unhideWhenUsed="0" w:qFormat="1"/>
    <w:lsdException w:name="table of figures"/>
    <w:lsdException w:name="envelope address"/>
    <w:lsdException w:name="envelope return"/>
    <w:lsdException w:name="footnote reference"/>
    <w:lsdException w:name="annotation reference" w:semiHidden="0" w:uiPriority="0" w:unhideWhenUsed="0" w:qFormat="1"/>
    <w:lsdException w:name="line number"/>
    <w:lsdException w:name="page number" w:semiHidden="0" w:uiPriority="0" w:unhideWhenUsed="0" w:qFormat="1"/>
    <w:lsdException w:name="endnote reference"/>
    <w:lsdException w:name="endnote text"/>
    <w:lsdException w:name="table of authorities"/>
    <w:lsdException w:name="macro"/>
    <w:lsdException w:name="toa heading"/>
    <w:lsdException w:name="List"/>
    <w:lsdException w:name="List Bullet" w:semiHidden="0" w:uiPriority="0" w:unhideWhenUsed="0" w:qFormat="1"/>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0" w:unhideWhenUsed="0" w:qFormat="1"/>
    <w:lsdException w:name="Closing"/>
    <w:lsdException w:name="Signature"/>
    <w:lsdException w:name="Default Paragraph Font" w:uiPriority="1" w:qFormat="1"/>
    <w:lsdException w:name="Body Text" w:semiHidden="0" w:uiPriority="0" w:unhideWhenUsed="0" w:qFormat="1"/>
    <w:lsdException w:name="Body Text Indent" w:semiHidden="0" w:uiPriority="0" w:unhideWhenUsed="0" w:qFormat="1"/>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semiHidden="0" w:uiPriority="0" w:unhideWhenUsed="0" w:qFormat="1"/>
    <w:lsdException w:name="Body Text First Indent" w:semiHidden="0" w:uiPriority="0" w:unhideWhenUsed="0" w:qFormat="1"/>
    <w:lsdException w:name="Body Text First Indent 2"/>
    <w:lsdException w:name="Body Text 2" w:semiHidden="0" w:uiPriority="0" w:unhideWhenUsed="0" w:qFormat="1"/>
    <w:lsdException w:name="Body Text 3" w:semiHidden="0" w:uiPriority="0" w:unhideWhenUsed="0" w:qFormat="1"/>
    <w:lsdException w:name="Body Text Indent 2" w:semiHidden="0" w:uiPriority="0" w:unhideWhenUsed="0" w:qFormat="1"/>
    <w:lsdException w:name="Body Text Indent 3" w:semiHidden="0" w:uiPriority="0" w:unhideWhenUsed="0" w:qFormat="1"/>
    <w:lsdException w:name="Block Text"/>
    <w:lsdException w:name="Hyperlink" w:semiHidden="0" w:uiPriority="0" w:unhideWhenUsed="0" w:qFormat="1"/>
    <w:lsdException w:name="FollowedHyperlink" w:semiHidden="0" w:qFormat="1"/>
    <w:lsdException w:name="Strong" w:semiHidden="0" w:uiPriority="22" w:unhideWhenUsed="0" w:qFormat="1"/>
    <w:lsdException w:name="Emphasis" w:semiHidden="0" w:uiPriority="20" w:unhideWhenUsed="0" w:qFormat="1"/>
    <w:lsdException w:name="Document Map" w:uiPriority="0" w:unhideWhenUsed="0" w:qFormat="1"/>
    <w:lsdException w:name="Plain Text" w:semiHidden="0" w:uiPriority="0" w:unhideWhenUsed="0" w:qFormat="1"/>
    <w:lsdException w:name="E-mail Signature"/>
    <w:lsdException w:name="Normal (Web)" w:semiHidden="0" w:qFormat="1"/>
    <w:lsdException w:name="HTML Acronym"/>
    <w:lsdException w:name="HTML Address"/>
    <w:lsdException w:name="HTML Cite"/>
    <w:lsdException w:name="HTML Code"/>
    <w:lsdException w:name="HTML Definition"/>
    <w:lsdException w:name="HTML Keyboard"/>
    <w:lsdException w:name="HTML Preformatted" w:semiHidden="0" w:uiPriority="0" w:unhideWhenUsed="0" w:qFormat="1"/>
    <w:lsdException w:name="HTML Sample"/>
    <w:lsdException w:name="HTML Typewriter"/>
    <w:lsdException w:name="HTML Variable"/>
    <w:lsdException w:name="Normal Table" w:qFormat="1"/>
    <w:lsdException w:name="annotation subject" w:semiHidden="0" w:unhideWhenUsed="0" w:qFormat="1"/>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semiHidden="0" w:unhideWhenUsed="0" w:qFormat="1"/>
    <w:lsdException w:name="Table Grid" w:semiHidden="0" w:uiPriority="0" w:unhideWhenUsed="0" w:qFormat="1"/>
    <w:lsdException w:name="Table Theme"/>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NormalIndent"/>
    <w:qFormat/>
    <w:pPr>
      <w:widowControl w:val="0"/>
      <w:jc w:val="both"/>
    </w:pPr>
    <w:rPr>
      <w:rFonts w:ascii="Calibri" w:eastAsia="宋体" w:hAnsi="Calibri" w:cs="Times New Roman"/>
      <w:kern w:val="2"/>
      <w:sz w:val="21"/>
      <w:szCs w:val="22"/>
      <w:lang w:val="en-US" w:eastAsia="zh-CN" w:bidi="ar-SA"/>
    </w:rPr>
  </w:style>
  <w:style w:type="paragraph" w:styleId="Heading1">
    <w:name w:val="heading 1"/>
    <w:basedOn w:val="Heading3"/>
    <w:next w:val="Normal"/>
    <w:link w:val="1Char"/>
    <w:uiPriority w:val="9"/>
    <w:qFormat/>
    <w:pPr>
      <w:spacing w:before="340" w:after="330" w:line="360" w:lineRule="auto"/>
      <w:jc w:val="center"/>
      <w:outlineLvl w:val="0"/>
    </w:pPr>
    <w:rPr>
      <w:rFonts w:eastAsia="黑体"/>
      <w:kern w:val="44"/>
      <w:szCs w:val="44"/>
    </w:rPr>
  </w:style>
  <w:style w:type="paragraph" w:styleId="Heading2">
    <w:name w:val="heading 2"/>
    <w:basedOn w:val="Normal"/>
    <w:next w:val="Normal"/>
    <w:link w:val="2Char"/>
    <w:qFormat/>
    <w:pPr>
      <w:adjustRightInd w:val="0"/>
      <w:jc w:val="center"/>
      <w:textAlignment w:val="baseline"/>
      <w:outlineLvl w:val="1"/>
    </w:pPr>
    <w:rPr>
      <w:sz w:val="24"/>
      <w:szCs w:val="20"/>
    </w:rPr>
  </w:style>
  <w:style w:type="paragraph" w:styleId="Heading3">
    <w:name w:val="heading 3"/>
    <w:basedOn w:val="Normal"/>
    <w:next w:val="Normal"/>
    <w:link w:val="3Char1"/>
    <w:uiPriority w:val="9"/>
    <w:qFormat/>
    <w:pPr>
      <w:spacing w:before="260" w:after="260" w:line="240" w:lineRule="auto"/>
      <w:outlineLvl w:val="2"/>
    </w:pPr>
    <w:rPr>
      <w:rFonts w:ascii="宋体" w:eastAsia="宋体" w:hAnsi="宋体"/>
      <w:szCs w:val="32"/>
    </w:rPr>
  </w:style>
  <w:style w:type="paragraph" w:styleId="Heading4">
    <w:name w:val="heading 4"/>
    <w:basedOn w:val="Normal"/>
    <w:next w:val="Normal"/>
    <w:link w:val="4Char"/>
    <w:qFormat/>
    <w:pPr>
      <w:keepNext/>
      <w:keepLines/>
      <w:spacing w:before="280" w:after="290" w:line="376" w:lineRule="auto"/>
      <w:outlineLvl w:val="3"/>
    </w:pPr>
    <w:rPr>
      <w:rFonts w:ascii="Arial" w:eastAsia="黑体" w:hAnsi="Arial"/>
      <w:b/>
      <w:bCs/>
      <w:kern w:val="0"/>
      <w:sz w:val="28"/>
      <w:szCs w:val="28"/>
    </w:rPr>
  </w:style>
  <w:style w:type="paragraph" w:styleId="Heading5">
    <w:name w:val="heading 5"/>
    <w:basedOn w:val="Normal"/>
    <w:next w:val="NormalIndent"/>
    <w:link w:val="5Char"/>
    <w:qFormat/>
    <w:pPr>
      <w:keepNext/>
      <w:keepLines/>
      <w:spacing w:before="280" w:after="290" w:line="376" w:lineRule="auto"/>
      <w:outlineLvl w:val="4"/>
    </w:pPr>
    <w:rPr>
      <w:rFonts w:ascii="Times New Roman" w:hAnsi="Times New Roman"/>
      <w:b/>
      <w:kern w:val="0"/>
      <w:sz w:val="28"/>
      <w:szCs w:val="20"/>
    </w:rPr>
  </w:style>
  <w:style w:type="paragraph" w:styleId="Heading6">
    <w:name w:val="heading 6"/>
    <w:basedOn w:val="Normal"/>
    <w:next w:val="NormalIndent"/>
    <w:link w:val="6Char"/>
    <w:qFormat/>
    <w:pPr>
      <w:keepNext/>
      <w:keepLines/>
      <w:spacing w:before="240" w:after="64" w:line="320" w:lineRule="auto"/>
      <w:outlineLvl w:val="5"/>
    </w:pPr>
    <w:rPr>
      <w:rFonts w:ascii="Arial" w:eastAsia="黑体" w:hAnsi="Arial"/>
      <w:b/>
      <w:kern w:val="0"/>
      <w:sz w:val="24"/>
      <w:szCs w:val="20"/>
    </w:rPr>
  </w:style>
  <w:style w:type="paragraph" w:styleId="Heading7">
    <w:name w:val="heading 7"/>
    <w:basedOn w:val="Normal"/>
    <w:next w:val="NormalIndent"/>
    <w:link w:val="7Char"/>
    <w:qFormat/>
    <w:pPr>
      <w:keepNext/>
      <w:keepLines/>
      <w:spacing w:before="240" w:after="64" w:line="320" w:lineRule="auto"/>
      <w:outlineLvl w:val="6"/>
    </w:pPr>
    <w:rPr>
      <w:rFonts w:ascii="Times New Roman" w:hAnsi="Times New Roman"/>
      <w:b/>
      <w:kern w:val="0"/>
      <w:sz w:val="24"/>
      <w:szCs w:val="20"/>
    </w:rPr>
  </w:style>
  <w:style w:type="paragraph" w:styleId="Heading8">
    <w:name w:val="heading 8"/>
    <w:basedOn w:val="Normal"/>
    <w:next w:val="NormalIndent"/>
    <w:link w:val="8Char"/>
    <w:qFormat/>
    <w:pPr>
      <w:keepNext/>
      <w:keepLines/>
      <w:spacing w:before="240" w:after="64" w:line="320" w:lineRule="auto"/>
      <w:outlineLvl w:val="7"/>
    </w:pPr>
    <w:rPr>
      <w:rFonts w:ascii="Arial" w:eastAsia="黑体" w:hAnsi="Arial"/>
      <w:kern w:val="0"/>
      <w:sz w:val="24"/>
      <w:szCs w:val="20"/>
    </w:rPr>
  </w:style>
  <w:style w:type="paragraph" w:styleId="Heading9">
    <w:name w:val="heading 9"/>
    <w:basedOn w:val="Normal"/>
    <w:next w:val="NormalIndent"/>
    <w:link w:val="9Char"/>
    <w:qFormat/>
    <w:pPr>
      <w:keepNext/>
      <w:keepLines/>
      <w:spacing w:before="240" w:after="64" w:line="320" w:lineRule="auto"/>
      <w:outlineLvl w:val="8"/>
    </w:pPr>
    <w:rPr>
      <w:rFonts w:ascii="Arial" w:eastAsia="黑体" w:hAnsi="Arial"/>
      <w:kern w:val="0"/>
      <w:sz w:val="20"/>
      <w:szCs w:val="20"/>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NormalIndent">
    <w:name w:val="Normal Indent"/>
    <w:basedOn w:val="Normal"/>
    <w:next w:val="BodyText"/>
    <w:link w:val="Char4"/>
    <w:qFormat/>
    <w:pPr>
      <w:ind w:firstLine="420"/>
    </w:pPr>
    <w:rPr>
      <w:rFonts w:ascii="Times New Roman" w:hAnsi="Times New Roman"/>
      <w:kern w:val="0"/>
      <w:sz w:val="20"/>
      <w:szCs w:val="20"/>
    </w:rPr>
  </w:style>
  <w:style w:type="paragraph" w:styleId="BodyText">
    <w:name w:val="Body Text"/>
    <w:basedOn w:val="Normal"/>
    <w:next w:val="Title"/>
    <w:link w:val="Char20"/>
    <w:qFormat/>
    <w:pPr>
      <w:spacing w:line="360" w:lineRule="auto"/>
    </w:pPr>
    <w:rPr>
      <w:rFonts w:ascii="Times New Roman" w:hAnsi="Times New Roman"/>
      <w:b/>
      <w:bCs/>
      <w:kern w:val="0"/>
      <w:sz w:val="24"/>
      <w:szCs w:val="24"/>
    </w:rPr>
  </w:style>
  <w:style w:type="paragraph" w:styleId="Title">
    <w:name w:val="Title"/>
    <w:basedOn w:val="Normal"/>
    <w:next w:val="Normal"/>
    <w:link w:val="Char112"/>
    <w:qFormat/>
    <w:pPr>
      <w:spacing w:before="240" w:after="60"/>
      <w:jc w:val="center"/>
      <w:outlineLvl w:val="0"/>
    </w:pPr>
    <w:rPr>
      <w:rFonts w:ascii="Arial" w:eastAsia="隶书" w:hAnsi="Arial"/>
      <w:b/>
      <w:bCs/>
      <w:kern w:val="0"/>
      <w:sz w:val="32"/>
      <w:szCs w:val="32"/>
    </w:rPr>
  </w:style>
  <w:style w:type="paragraph" w:styleId="TOC7">
    <w:name w:val="toc 7"/>
    <w:basedOn w:val="Normal"/>
    <w:next w:val="Normal"/>
    <w:semiHidden/>
    <w:qFormat/>
    <w:pPr>
      <w:ind w:left="1260"/>
      <w:jc w:val="left"/>
    </w:pPr>
    <w:rPr>
      <w:rFonts w:ascii="Times New Roman" w:hAnsi="Times New Roman"/>
      <w:szCs w:val="21"/>
    </w:rPr>
  </w:style>
  <w:style w:type="paragraph" w:styleId="Caption">
    <w:name w:val="caption"/>
    <w:basedOn w:val="Normal"/>
    <w:next w:val="Normal"/>
    <w:qFormat/>
    <w:pPr>
      <w:widowControl/>
      <w:spacing w:line="360" w:lineRule="auto"/>
      <w:ind w:firstLine="1940" w:firstLineChars="920"/>
      <w:jc w:val="left"/>
    </w:pPr>
    <w:rPr>
      <w:rFonts w:ascii="宋体" w:hAnsi="宋体"/>
      <w:b/>
      <w:bCs/>
      <w:kern w:val="0"/>
      <w:sz w:val="20"/>
      <w:szCs w:val="20"/>
    </w:rPr>
  </w:style>
  <w:style w:type="paragraph" w:styleId="ListBullet">
    <w:name w:val="List Bullet"/>
    <w:basedOn w:val="Normal"/>
    <w:qFormat/>
    <w:pPr>
      <w:tabs>
        <w:tab w:val="left" w:pos="360"/>
      </w:tabs>
      <w:ind w:left="360" w:hanging="360"/>
    </w:pPr>
    <w:rPr>
      <w:rFonts w:ascii="Times New Roman" w:hAnsi="Times New Roman"/>
      <w:szCs w:val="20"/>
    </w:rPr>
  </w:style>
  <w:style w:type="paragraph" w:styleId="DocumentMap">
    <w:name w:val="Document Map"/>
    <w:basedOn w:val="Normal"/>
    <w:link w:val="Char17"/>
    <w:semiHidden/>
    <w:qFormat/>
    <w:pPr>
      <w:shd w:val="clear" w:color="auto" w:fill="000080"/>
    </w:pPr>
    <w:rPr>
      <w:rFonts w:ascii="Times New Roman" w:hAnsi="Times New Roman"/>
      <w:kern w:val="0"/>
      <w:sz w:val="20"/>
      <w:szCs w:val="24"/>
    </w:rPr>
  </w:style>
  <w:style w:type="paragraph" w:styleId="CommentText">
    <w:name w:val="annotation text"/>
    <w:basedOn w:val="Normal"/>
    <w:link w:val="Char110"/>
    <w:qFormat/>
    <w:pPr>
      <w:autoSpaceDE w:val="0"/>
      <w:autoSpaceDN w:val="0"/>
      <w:adjustRightInd w:val="0"/>
      <w:jc w:val="left"/>
      <w:textAlignment w:val="baseline"/>
    </w:pPr>
    <w:rPr>
      <w:rFonts w:ascii="宋体" w:hAnsi="Times New Roman"/>
      <w:kern w:val="0"/>
      <w:sz w:val="34"/>
      <w:szCs w:val="20"/>
    </w:rPr>
  </w:style>
  <w:style w:type="paragraph" w:styleId="BodyText3">
    <w:name w:val="Body Text 3"/>
    <w:basedOn w:val="Normal"/>
    <w:link w:val="3Char10"/>
    <w:qFormat/>
    <w:pPr>
      <w:spacing w:after="120"/>
    </w:pPr>
    <w:rPr>
      <w:rFonts w:ascii="Times New Roman" w:hAnsi="Times New Roman"/>
      <w:kern w:val="0"/>
      <w:sz w:val="16"/>
      <w:szCs w:val="16"/>
    </w:rPr>
  </w:style>
  <w:style w:type="paragraph" w:styleId="BodyTextIndent">
    <w:name w:val="Body Text Indent"/>
    <w:basedOn w:val="Normal"/>
    <w:link w:val="Char19"/>
    <w:qFormat/>
    <w:pPr>
      <w:spacing w:line="360" w:lineRule="auto"/>
      <w:ind w:firstLine="420" w:firstLineChars="200"/>
    </w:pPr>
    <w:rPr>
      <w:rFonts w:ascii="Times New Roman" w:hAnsi="Times New Roman"/>
      <w:kern w:val="0"/>
      <w:sz w:val="20"/>
      <w:szCs w:val="24"/>
    </w:rPr>
  </w:style>
  <w:style w:type="paragraph" w:styleId="TOC5">
    <w:name w:val="toc 5"/>
    <w:basedOn w:val="Normal"/>
    <w:next w:val="Normal"/>
    <w:semiHidden/>
    <w:qFormat/>
    <w:pPr>
      <w:ind w:left="840"/>
      <w:jc w:val="left"/>
    </w:pPr>
    <w:rPr>
      <w:rFonts w:ascii="Times New Roman" w:hAnsi="Times New Roman"/>
      <w:szCs w:val="21"/>
    </w:rPr>
  </w:style>
  <w:style w:type="paragraph" w:styleId="TOC3">
    <w:name w:val="toc 3"/>
    <w:basedOn w:val="Normal"/>
    <w:next w:val="Normal"/>
    <w:semiHidden/>
    <w:qFormat/>
    <w:pPr>
      <w:ind w:left="420"/>
      <w:jc w:val="left"/>
    </w:pPr>
    <w:rPr>
      <w:rFonts w:ascii="Times New Roman" w:hAnsi="Times New Roman"/>
      <w:i/>
      <w:iCs/>
      <w:szCs w:val="24"/>
    </w:rPr>
  </w:style>
  <w:style w:type="paragraph" w:styleId="PlainText">
    <w:name w:val="Plain Text"/>
    <w:basedOn w:val="Normal"/>
    <w:link w:val="Char16"/>
    <w:qFormat/>
    <w:rPr>
      <w:rFonts w:ascii="宋体" w:hAnsi="Courier New"/>
      <w:kern w:val="0"/>
      <w:sz w:val="20"/>
      <w:szCs w:val="20"/>
    </w:rPr>
  </w:style>
  <w:style w:type="paragraph" w:styleId="TOC8">
    <w:name w:val="toc 8"/>
    <w:basedOn w:val="Normal"/>
    <w:next w:val="Normal"/>
    <w:semiHidden/>
    <w:qFormat/>
    <w:pPr>
      <w:ind w:left="1470"/>
      <w:jc w:val="left"/>
    </w:pPr>
    <w:rPr>
      <w:rFonts w:ascii="Times New Roman" w:hAnsi="Times New Roman"/>
      <w:szCs w:val="21"/>
    </w:rPr>
  </w:style>
  <w:style w:type="paragraph" w:styleId="Date">
    <w:name w:val="Date"/>
    <w:basedOn w:val="Normal"/>
    <w:next w:val="Normal"/>
    <w:link w:val="Char18"/>
    <w:qFormat/>
    <w:rPr>
      <w:rFonts w:ascii="宋体" w:hAnsi="Courier New"/>
      <w:kern w:val="0"/>
      <w:sz w:val="32"/>
      <w:szCs w:val="20"/>
    </w:rPr>
  </w:style>
  <w:style w:type="paragraph" w:styleId="BodyTextIndent2">
    <w:name w:val="Body Text Indent 2"/>
    <w:basedOn w:val="Normal"/>
    <w:link w:val="2Char10"/>
    <w:qFormat/>
    <w:pPr>
      <w:spacing w:beforeLines="50" w:afterLines="50" w:line="120" w:lineRule="auto"/>
      <w:ind w:firstLine="840" w:firstLineChars="400"/>
      <w:jc w:val="left"/>
    </w:pPr>
    <w:rPr>
      <w:rFonts w:ascii="宋体" w:hAnsi="宋体"/>
      <w:kern w:val="0"/>
      <w:sz w:val="20"/>
      <w:szCs w:val="24"/>
    </w:rPr>
  </w:style>
  <w:style w:type="paragraph" w:styleId="BalloonText">
    <w:name w:val="Balloon Text"/>
    <w:basedOn w:val="Normal"/>
    <w:link w:val="Char111"/>
    <w:uiPriority w:val="99"/>
    <w:qFormat/>
    <w:rPr>
      <w:rFonts w:ascii="Times New Roman" w:hAnsi="Times New Roman"/>
      <w:kern w:val="0"/>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Normal"/>
    <w:next w:val="Normal"/>
    <w:qFormat/>
    <w:pPr>
      <w:spacing w:before="120" w:after="120"/>
      <w:jc w:val="left"/>
    </w:pPr>
    <w:rPr>
      <w:rFonts w:ascii="Times New Roman" w:hAnsi="Times New Roman"/>
      <w:b/>
      <w:bCs/>
      <w:caps/>
      <w:szCs w:val="24"/>
    </w:rPr>
  </w:style>
  <w:style w:type="paragraph" w:styleId="TOC4">
    <w:name w:val="toc 4"/>
    <w:basedOn w:val="Normal"/>
    <w:next w:val="Normal"/>
    <w:semiHidden/>
    <w:qFormat/>
    <w:pPr>
      <w:ind w:left="630"/>
      <w:jc w:val="left"/>
    </w:pPr>
    <w:rPr>
      <w:rFonts w:ascii="Times New Roman" w:hAnsi="Times New Roman"/>
      <w:szCs w:val="21"/>
    </w:rPr>
  </w:style>
  <w:style w:type="paragraph" w:styleId="TOC6">
    <w:name w:val="toc 6"/>
    <w:basedOn w:val="Normal"/>
    <w:next w:val="Normal"/>
    <w:semiHidden/>
    <w:qFormat/>
    <w:pPr>
      <w:ind w:left="1050"/>
      <w:jc w:val="left"/>
    </w:pPr>
    <w:rPr>
      <w:rFonts w:ascii="Times New Roman" w:hAnsi="Times New Roman"/>
      <w:szCs w:val="21"/>
    </w:rPr>
  </w:style>
  <w:style w:type="paragraph" w:styleId="BodyTextIndent3">
    <w:name w:val="Body Text Indent 3"/>
    <w:basedOn w:val="Normal"/>
    <w:link w:val="3Char11"/>
    <w:qFormat/>
    <w:pPr>
      <w:spacing w:line="360" w:lineRule="auto"/>
      <w:ind w:firstLine="482" w:firstLineChars="200"/>
    </w:pPr>
    <w:rPr>
      <w:rFonts w:ascii="宋体" w:hAnsi="Times New Roman"/>
      <w:b/>
      <w:bCs/>
      <w:kern w:val="0"/>
      <w:sz w:val="24"/>
      <w:szCs w:val="24"/>
    </w:rPr>
  </w:style>
  <w:style w:type="paragraph" w:styleId="TOC2">
    <w:name w:val="toc 2"/>
    <w:basedOn w:val="Normal"/>
    <w:next w:val="Normal"/>
    <w:qFormat/>
    <w:pPr>
      <w:tabs>
        <w:tab w:val="right" w:leader="dot" w:pos="8296"/>
      </w:tabs>
      <w:ind w:left="210"/>
      <w:jc w:val="left"/>
    </w:pPr>
    <w:rPr>
      <w:rFonts w:ascii="Times New Roman" w:hAnsi="Times New Roman"/>
      <w:smallCaps/>
      <w:szCs w:val="24"/>
    </w:rPr>
  </w:style>
  <w:style w:type="paragraph" w:styleId="TOC9">
    <w:name w:val="toc 9"/>
    <w:basedOn w:val="Normal"/>
    <w:next w:val="Normal"/>
    <w:semiHidden/>
    <w:qFormat/>
    <w:pPr>
      <w:ind w:left="1680"/>
      <w:jc w:val="left"/>
    </w:pPr>
    <w:rPr>
      <w:rFonts w:ascii="Times New Roman" w:hAnsi="Times New Roman"/>
      <w:szCs w:val="21"/>
    </w:rPr>
  </w:style>
  <w:style w:type="paragraph" w:styleId="BodyText2">
    <w:name w:val="Body Text 2"/>
    <w:basedOn w:val="Normal"/>
    <w:link w:val="2Char11"/>
    <w:qFormat/>
    <w:pPr>
      <w:spacing w:line="360" w:lineRule="auto"/>
    </w:pPr>
    <w:rPr>
      <w:rFonts w:ascii="Times New Roman" w:hAnsi="Times New Roman"/>
      <w:kern w:val="0"/>
      <w:sz w:val="24"/>
      <w:szCs w:val="24"/>
    </w:rPr>
  </w:style>
  <w:style w:type="paragraph" w:styleId="HTMLPreformatted">
    <w:name w:val="HTML Preformatted"/>
    <w:basedOn w:val="Normal"/>
    <w:link w:val="HTMLChar1"/>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olor w:val="000000"/>
      <w:kern w:val="0"/>
      <w:sz w:val="20"/>
      <w:szCs w:val="20"/>
    </w:rPr>
  </w:style>
  <w:style w:type="paragraph" w:styleId="NormalWeb">
    <w:name w:val="Normal (Web)"/>
    <w:basedOn w:val="Normal"/>
    <w:uiPriority w:val="99"/>
    <w:unhideWhenUsed/>
    <w:qFormat/>
    <w:pPr>
      <w:widowControl/>
      <w:spacing w:before="100" w:beforeAutospacing="1" w:after="100" w:afterAutospacing="1"/>
      <w:jc w:val="left"/>
    </w:pPr>
    <w:rPr>
      <w:rFonts w:ascii="宋体" w:hAnsi="宋体" w:cs="宋体"/>
      <w:kern w:val="0"/>
      <w:sz w:val="24"/>
      <w:szCs w:val="24"/>
    </w:rPr>
  </w:style>
  <w:style w:type="paragraph" w:styleId="Index1">
    <w:name w:val="index 1"/>
    <w:basedOn w:val="Normal"/>
    <w:next w:val="Normal"/>
    <w:semiHidden/>
    <w:qFormat/>
    <w:pPr>
      <w:tabs>
        <w:tab w:val="left" w:pos="3360"/>
      </w:tabs>
      <w:spacing w:line="520" w:lineRule="exact"/>
      <w:ind w:left="419" w:hanging="314" w:leftChars="50" w:hangingChars="131"/>
      <w:jc w:val="center"/>
      <w:outlineLvl w:val="3"/>
    </w:pPr>
    <w:rPr>
      <w:rFonts w:ascii="宋体" w:hAnsi="宋体"/>
      <w:sz w:val="24"/>
      <w:szCs w:val="24"/>
    </w:rPr>
  </w:style>
  <w:style w:type="paragraph" w:styleId="CommentSubject">
    <w:name w:val="annotation subject"/>
    <w:basedOn w:val="CommentText"/>
    <w:next w:val="CommentText"/>
    <w:link w:val="Char113"/>
    <w:uiPriority w:val="99"/>
    <w:qFormat/>
    <w:pPr>
      <w:autoSpaceDE/>
      <w:autoSpaceDN/>
      <w:adjustRightInd/>
      <w:textAlignment w:val="auto"/>
    </w:pPr>
    <w:rPr>
      <w:rFonts w:ascii="Times New Roman"/>
      <w:b/>
      <w:bCs/>
      <w:szCs w:val="24"/>
    </w:rPr>
  </w:style>
  <w:style w:type="paragraph" w:styleId="BodyTextFirstIndent">
    <w:name w:val="Body Text First Indent"/>
    <w:basedOn w:val="BodyText"/>
    <w:link w:val="Char114"/>
    <w:qFormat/>
    <w:pPr>
      <w:spacing w:after="120" w:line="240" w:lineRule="auto"/>
      <w:ind w:firstLine="420" w:firstLineChars="100"/>
    </w:pPr>
    <w:rPr>
      <w:sz w:val="20"/>
    </w:rPr>
  </w:style>
  <w:style w:type="table" w:styleId="TableGrid">
    <w:name w:val="Table Grid"/>
    <w:basedOn w:val="TableNormal"/>
    <w:qFormat/>
    <w:pPr>
      <w:widowControl w:val="0"/>
      <w:jc w:val="both"/>
    </w:pPr>
    <w:rPr>
      <w:rFonts w:ascii="Times New Roman" w:eastAsia="宋体"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uiPriority w:val="22"/>
    <w:qFormat/>
    <w:rPr>
      <w:b/>
      <w:bCs/>
    </w:rPr>
  </w:style>
  <w:style w:type="character" w:styleId="PageNumber">
    <w:name w:val="page number"/>
    <w:basedOn w:val="DefaultParagraphFont"/>
    <w:qFormat/>
  </w:style>
  <w:style w:type="character" w:styleId="FollowedHyperlink">
    <w:name w:val="FollowedHyperlink"/>
    <w:basedOn w:val="DefaultParagraphFont"/>
    <w:uiPriority w:val="99"/>
    <w:unhideWhenUsed/>
    <w:qFormat/>
    <w:rPr>
      <w:color w:val="800080"/>
      <w:u w:val="single"/>
    </w:rPr>
  </w:style>
  <w:style w:type="character" w:styleId="Hyperlink">
    <w:name w:val="Hyperlink"/>
    <w:basedOn w:val="DefaultParagraphFont"/>
    <w:qFormat/>
    <w:rPr>
      <w:color w:val="0000FF"/>
      <w:u w:val="single"/>
    </w:rPr>
  </w:style>
  <w:style w:type="character" w:styleId="CommentReference">
    <w:name w:val="annotation reference"/>
    <w:qFormat/>
    <w:rPr>
      <w:sz w:val="21"/>
      <w:szCs w:val="21"/>
    </w:rPr>
  </w:style>
  <w:style w:type="character" w:customStyle="1" w:styleId="1Char">
    <w:name w:val="标题 1 Char"/>
    <w:basedOn w:val="DefaultParagraphFont"/>
    <w:link w:val="Heading1"/>
    <w:uiPriority w:val="9"/>
    <w:qFormat/>
    <w:rPr>
      <w:rFonts w:ascii="宋体" w:eastAsia="黑体" w:hAnsi="宋体" w:cs="Times New Roman"/>
      <w:b/>
      <w:bCs/>
      <w:kern w:val="44"/>
      <w:sz w:val="28"/>
      <w:szCs w:val="44"/>
    </w:rPr>
  </w:style>
  <w:style w:type="character" w:customStyle="1" w:styleId="2Char">
    <w:name w:val="标题 2 Char"/>
    <w:basedOn w:val="DefaultParagraphFont"/>
    <w:link w:val="Heading2"/>
    <w:qFormat/>
    <w:rPr>
      <w:rFonts w:ascii="宋体" w:eastAsia="宋体" w:hAnsi="宋体" w:cs="Times New Roman"/>
      <w:b/>
      <w:bCs/>
      <w:kern w:val="0"/>
      <w:sz w:val="24"/>
      <w:szCs w:val="20"/>
    </w:rPr>
  </w:style>
  <w:style w:type="character" w:customStyle="1" w:styleId="3Char">
    <w:name w:val="标题 3 Char"/>
    <w:basedOn w:val="DefaultParagraphFont"/>
    <w:link w:val="Heading3"/>
    <w:uiPriority w:val="9"/>
    <w:qFormat/>
    <w:rPr>
      <w:rFonts w:ascii="Calibri" w:eastAsia="宋体" w:hAnsi="Calibri" w:cs="Times New Roman"/>
      <w:b/>
      <w:bCs/>
      <w:sz w:val="32"/>
      <w:szCs w:val="32"/>
    </w:rPr>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4Char">
    <w:name w:val="标题 4 Char"/>
    <w:basedOn w:val="DefaultParagraphFont"/>
    <w:link w:val="Heading4"/>
    <w:qFormat/>
    <w:rPr>
      <w:rFonts w:ascii="Arial" w:eastAsia="黑体" w:hAnsi="Arial" w:cs="Times New Roman"/>
      <w:b/>
      <w:bCs/>
      <w:kern w:val="0"/>
      <w:sz w:val="28"/>
      <w:szCs w:val="28"/>
    </w:rPr>
  </w:style>
  <w:style w:type="character" w:customStyle="1" w:styleId="5Char">
    <w:name w:val="标题 5 Char"/>
    <w:basedOn w:val="DefaultParagraphFont"/>
    <w:link w:val="Heading5"/>
    <w:qFormat/>
    <w:rPr>
      <w:rFonts w:ascii="Times New Roman" w:eastAsia="宋体" w:hAnsi="Times New Roman" w:cs="Times New Roman"/>
      <w:b/>
      <w:kern w:val="0"/>
      <w:sz w:val="28"/>
      <w:szCs w:val="20"/>
    </w:rPr>
  </w:style>
  <w:style w:type="character" w:customStyle="1" w:styleId="6Char">
    <w:name w:val="标题 6 Char"/>
    <w:basedOn w:val="DefaultParagraphFont"/>
    <w:link w:val="Heading6"/>
    <w:qFormat/>
    <w:rPr>
      <w:rFonts w:ascii="Arial" w:eastAsia="黑体" w:hAnsi="Arial" w:cs="Times New Roman"/>
      <w:b/>
      <w:kern w:val="0"/>
      <w:sz w:val="24"/>
      <w:szCs w:val="20"/>
    </w:rPr>
  </w:style>
  <w:style w:type="character" w:customStyle="1" w:styleId="7Char">
    <w:name w:val="标题 7 Char"/>
    <w:basedOn w:val="DefaultParagraphFont"/>
    <w:link w:val="Heading7"/>
    <w:qFormat/>
    <w:rPr>
      <w:rFonts w:ascii="Times New Roman" w:eastAsia="宋体" w:hAnsi="Times New Roman" w:cs="Times New Roman"/>
      <w:b/>
      <w:kern w:val="0"/>
      <w:sz w:val="24"/>
      <w:szCs w:val="20"/>
    </w:rPr>
  </w:style>
  <w:style w:type="character" w:customStyle="1" w:styleId="8Char">
    <w:name w:val="标题 8 Char"/>
    <w:basedOn w:val="DefaultParagraphFont"/>
    <w:link w:val="Heading8"/>
    <w:qFormat/>
    <w:rPr>
      <w:rFonts w:ascii="Arial" w:eastAsia="黑体" w:hAnsi="Arial" w:cs="Times New Roman"/>
      <w:kern w:val="0"/>
      <w:sz w:val="24"/>
      <w:szCs w:val="20"/>
    </w:rPr>
  </w:style>
  <w:style w:type="character" w:customStyle="1" w:styleId="9Char">
    <w:name w:val="标题 9 Char"/>
    <w:basedOn w:val="DefaultParagraphFont"/>
    <w:link w:val="Heading9"/>
    <w:qFormat/>
    <w:rPr>
      <w:rFonts w:ascii="Arial" w:eastAsia="黑体" w:hAnsi="Arial" w:cs="Times New Roman"/>
      <w:kern w:val="0"/>
      <w:sz w:val="20"/>
      <w:szCs w:val="20"/>
    </w:rPr>
  </w:style>
  <w:style w:type="character" w:customStyle="1" w:styleId="3Char1">
    <w:name w:val="标题 3 Char1"/>
    <w:link w:val="Heading3"/>
    <w:qFormat/>
    <w:rPr>
      <w:rFonts w:ascii="宋体" w:eastAsia="宋体" w:hAnsi="宋体" w:cs="Times New Roman"/>
      <w:b/>
      <w:bCs/>
      <w:kern w:val="0"/>
      <w:sz w:val="28"/>
      <w:szCs w:val="32"/>
    </w:rPr>
  </w:style>
  <w:style w:type="character" w:customStyle="1" w:styleId="--CharChar">
    <w:name w:val="--规划正文 Char Char"/>
    <w:qFormat/>
    <w:rPr>
      <w:rFonts w:eastAsia="宋体"/>
      <w:kern w:val="2"/>
      <w:sz w:val="24"/>
      <w:szCs w:val="24"/>
      <w:lang w:val="en-US" w:eastAsia="zh-CN" w:bidi="ar-SA"/>
    </w:rPr>
  </w:style>
  <w:style w:type="character" w:customStyle="1" w:styleId="grame">
    <w:name w:val="grame"/>
    <w:basedOn w:val="DefaultParagraphFont"/>
    <w:qFormat/>
  </w:style>
  <w:style w:type="character" w:customStyle="1" w:styleId="font">
    <w:name w:val="font"/>
    <w:basedOn w:val="DefaultParagraphFont"/>
    <w:qFormat/>
  </w:style>
  <w:style w:type="character" w:customStyle="1" w:styleId="font2">
    <w:name w:val="font2"/>
    <w:basedOn w:val="DefaultParagraphFont"/>
    <w:qFormat/>
  </w:style>
  <w:style w:type="character" w:customStyle="1" w:styleId="unnamed4">
    <w:name w:val="unnamed4"/>
    <w:basedOn w:val="DefaultParagraphFont"/>
    <w:qFormat/>
  </w:style>
  <w:style w:type="character" w:customStyle="1" w:styleId="a">
    <w:name w:val="样式 小三 加粗"/>
    <w:qFormat/>
    <w:rPr>
      <w:rFonts w:eastAsia="宋体"/>
      <w:b/>
      <w:bCs/>
      <w:sz w:val="32"/>
    </w:rPr>
  </w:style>
  <w:style w:type="character" w:customStyle="1" w:styleId="z-Char">
    <w:name w:val="z-窗体顶端 Char"/>
    <w:basedOn w:val="DefaultParagraphFont"/>
    <w:qFormat/>
    <w:rPr>
      <w:rFonts w:ascii="Arial" w:eastAsia="宋体" w:hAnsi="Arial" w:cs="Times New Roman"/>
      <w:vanish/>
      <w:kern w:val="0"/>
      <w:sz w:val="16"/>
      <w:szCs w:val="16"/>
      <w:lang w:val="en-US" w:eastAsia="zh-CN"/>
    </w:rPr>
  </w:style>
  <w:style w:type="paragraph" w:customStyle="1" w:styleId="z-1">
    <w:name w:val="z-窗体顶端1"/>
    <w:basedOn w:val="Normal"/>
    <w:next w:val="Normal"/>
    <w:link w:val="z-Char1"/>
    <w:qFormat/>
    <w:pPr>
      <w:widowControl/>
      <w:pBdr>
        <w:bottom w:val="single" w:sz="6" w:space="1" w:color="auto"/>
      </w:pBdr>
      <w:jc w:val="center"/>
    </w:pPr>
    <w:rPr>
      <w:rFonts w:ascii="Arial" w:hAnsi="Arial"/>
      <w:vanish/>
      <w:kern w:val="0"/>
      <w:sz w:val="16"/>
      <w:szCs w:val="16"/>
    </w:rPr>
  </w:style>
  <w:style w:type="character" w:customStyle="1" w:styleId="Char1">
    <w:name w:val="批注文字 Char"/>
    <w:basedOn w:val="DefaultParagraphFont"/>
    <w:link w:val="CommentText"/>
    <w:qFormat/>
    <w:rPr>
      <w:rFonts w:ascii="宋体" w:eastAsia="宋体" w:hAnsi="Times New Roman" w:cs="Times New Roman"/>
      <w:kern w:val="0"/>
      <w:sz w:val="34"/>
      <w:szCs w:val="20"/>
    </w:rPr>
  </w:style>
  <w:style w:type="character" w:customStyle="1" w:styleId="Char2">
    <w:name w:val="标题 Char"/>
    <w:basedOn w:val="DefaultParagraphFont"/>
    <w:link w:val="Title"/>
    <w:qFormat/>
    <w:rPr>
      <w:rFonts w:ascii="Arial" w:eastAsia="隶书" w:hAnsi="Arial" w:cs="Times New Roman"/>
      <w:b/>
      <w:bCs/>
      <w:kern w:val="0"/>
      <w:sz w:val="32"/>
      <w:szCs w:val="32"/>
    </w:rPr>
  </w:style>
  <w:style w:type="character" w:customStyle="1" w:styleId="Char3">
    <w:name w:val="正文文本 Char"/>
    <w:basedOn w:val="DefaultParagraphFont"/>
    <w:uiPriority w:val="99"/>
    <w:semiHidden/>
    <w:qFormat/>
    <w:rPr>
      <w:rFonts w:ascii="Calibri" w:eastAsia="宋体" w:hAnsi="Calibri" w:cs="Times New Roman"/>
    </w:rPr>
  </w:style>
  <w:style w:type="character" w:customStyle="1" w:styleId="Char4">
    <w:name w:val="正文缩进 Char"/>
    <w:link w:val="NormalIndent"/>
    <w:qFormat/>
    <w:rPr>
      <w:rFonts w:ascii="Times New Roman" w:eastAsia="宋体" w:hAnsi="Times New Roman" w:cs="Times New Roman"/>
      <w:kern w:val="0"/>
      <w:sz w:val="20"/>
      <w:szCs w:val="20"/>
    </w:rPr>
  </w:style>
  <w:style w:type="character" w:customStyle="1" w:styleId="Char5">
    <w:name w:val="日期 Char"/>
    <w:basedOn w:val="DefaultParagraphFont"/>
    <w:link w:val="Date"/>
    <w:qFormat/>
    <w:rPr>
      <w:rFonts w:ascii="宋体" w:eastAsia="宋体" w:hAnsi="Courier New" w:cs="Times New Roman"/>
      <w:kern w:val="0"/>
      <w:sz w:val="32"/>
      <w:szCs w:val="20"/>
    </w:rPr>
  </w:style>
  <w:style w:type="character" w:customStyle="1" w:styleId="Char6">
    <w:name w:val="正文文字首行缩进 Char"/>
    <w:qFormat/>
    <w:rPr>
      <w:kern w:val="2"/>
      <w:sz w:val="21"/>
      <w:szCs w:val="24"/>
    </w:rPr>
  </w:style>
  <w:style w:type="character" w:customStyle="1" w:styleId="unnamed3">
    <w:name w:val="unnamed3"/>
    <w:basedOn w:val="DefaultParagraphFont"/>
    <w:qFormat/>
  </w:style>
  <w:style w:type="character" w:customStyle="1" w:styleId="Char7">
    <w:name w:val="批注主题 Char"/>
    <w:basedOn w:val="Char1"/>
    <w:link w:val="CommentSubject"/>
    <w:uiPriority w:val="99"/>
    <w:qFormat/>
    <w:rPr>
      <w:rFonts w:ascii="Times New Roman"/>
      <w:b/>
      <w:bCs/>
      <w:szCs w:val="24"/>
    </w:rPr>
  </w:style>
  <w:style w:type="character" w:customStyle="1" w:styleId="gray6">
    <w:name w:val="gray6"/>
    <w:basedOn w:val="DefaultParagraphFont"/>
    <w:qFormat/>
  </w:style>
  <w:style w:type="character" w:customStyle="1" w:styleId="Char8">
    <w:name w:val="纯文本 Char"/>
    <w:basedOn w:val="DefaultParagraphFont"/>
    <w:link w:val="PlainText"/>
    <w:qFormat/>
    <w:rPr>
      <w:rFonts w:ascii="宋体" w:eastAsia="宋体" w:hAnsi="Courier New" w:cs="Times New Roman"/>
      <w:kern w:val="0"/>
      <w:sz w:val="20"/>
      <w:szCs w:val="20"/>
    </w:rPr>
  </w:style>
  <w:style w:type="character" w:customStyle="1" w:styleId="Char9">
    <w:name w:val="正文文本缩进 Char"/>
    <w:basedOn w:val="DefaultParagraphFont"/>
    <w:link w:val="BodyTextIndent"/>
    <w:qFormat/>
    <w:rPr>
      <w:rFonts w:ascii="Times New Roman" w:eastAsia="宋体" w:hAnsi="Times New Roman" w:cs="Times New Roman"/>
      <w:kern w:val="0"/>
      <w:sz w:val="20"/>
      <w:szCs w:val="24"/>
    </w:rPr>
  </w:style>
  <w:style w:type="character" w:customStyle="1" w:styleId="2Char0">
    <w:name w:val="正文文本 2 Char"/>
    <w:basedOn w:val="DefaultParagraphFont"/>
    <w:link w:val="BodyText2"/>
    <w:qFormat/>
    <w:rPr>
      <w:rFonts w:ascii="Times New Roman" w:eastAsia="宋体" w:hAnsi="Times New Roman" w:cs="Times New Roman"/>
      <w:kern w:val="0"/>
      <w:sz w:val="24"/>
      <w:szCs w:val="24"/>
    </w:rPr>
  </w:style>
  <w:style w:type="character" w:customStyle="1" w:styleId="3CharChar">
    <w:name w:val="标题 3 Char Char"/>
    <w:qFormat/>
    <w:rPr>
      <w:rFonts w:eastAsia="宋体"/>
      <w:b/>
      <w:bCs/>
      <w:kern w:val="2"/>
      <w:sz w:val="32"/>
      <w:szCs w:val="32"/>
      <w:lang w:val="en-US" w:eastAsia="zh-CN" w:bidi="ar-SA"/>
    </w:rPr>
  </w:style>
  <w:style w:type="character" w:customStyle="1" w:styleId="--Char1">
    <w:name w:val="--规划正文 Char1"/>
    <w:qFormat/>
    <w:rPr>
      <w:rFonts w:eastAsia="宋体"/>
      <w:kern w:val="2"/>
      <w:sz w:val="21"/>
      <w:lang w:val="en-US" w:eastAsia="zh-CN" w:bidi="ar-SA"/>
    </w:rPr>
  </w:style>
  <w:style w:type="character" w:customStyle="1" w:styleId="Char10">
    <w:name w:val="正文首行缩进 Char"/>
    <w:basedOn w:val="Char3"/>
    <w:link w:val="BodyTextFirstIndent"/>
    <w:qFormat/>
    <w:rPr>
      <w:rFonts w:ascii="Times New Roman" w:hAnsi="Times New Roman"/>
      <w:b/>
      <w:bCs/>
      <w:kern w:val="0"/>
      <w:sz w:val="20"/>
      <w:szCs w:val="24"/>
      <w:lang w:val="en-US" w:eastAsia="zh-CN"/>
    </w:rPr>
  </w:style>
  <w:style w:type="character" w:customStyle="1" w:styleId="z-Char0">
    <w:name w:val="z-窗体底端 Char"/>
    <w:basedOn w:val="DefaultParagraphFont"/>
    <w:qFormat/>
    <w:rPr>
      <w:rFonts w:ascii="Arial" w:eastAsia="宋体" w:hAnsi="Arial" w:cs="Times New Roman"/>
      <w:vanish/>
      <w:kern w:val="0"/>
      <w:sz w:val="16"/>
      <w:szCs w:val="16"/>
      <w:lang w:val="en-US" w:eastAsia="zh-CN"/>
    </w:rPr>
  </w:style>
  <w:style w:type="paragraph" w:customStyle="1" w:styleId="z-10">
    <w:name w:val="z-窗体底端1"/>
    <w:basedOn w:val="Normal"/>
    <w:next w:val="Normal"/>
    <w:link w:val="z-Char10"/>
    <w:qFormat/>
    <w:pPr>
      <w:widowControl/>
      <w:pBdr>
        <w:top w:val="single" w:sz="6" w:space="1" w:color="auto"/>
      </w:pBdr>
      <w:jc w:val="center"/>
    </w:pPr>
    <w:rPr>
      <w:rFonts w:ascii="Arial" w:hAnsi="Arial"/>
      <w:vanish/>
      <w:kern w:val="0"/>
      <w:sz w:val="16"/>
      <w:szCs w:val="16"/>
    </w:rPr>
  </w:style>
  <w:style w:type="character" w:customStyle="1" w:styleId="HTMLChar">
    <w:name w:val="HTML 预设格式 Char"/>
    <w:basedOn w:val="DefaultParagraphFont"/>
    <w:link w:val="HTMLPreformatted"/>
    <w:qFormat/>
    <w:rPr>
      <w:rFonts w:ascii="Arial Unicode MS" w:eastAsia="Arial Unicode MS" w:hAnsi="Arial Unicode MS" w:cs="Times New Roman"/>
      <w:color w:val="000000"/>
      <w:kern w:val="0"/>
      <w:sz w:val="20"/>
      <w:szCs w:val="20"/>
    </w:rPr>
  </w:style>
  <w:style w:type="character" w:customStyle="1" w:styleId="H4Char2">
    <w:name w:val="H4 Char2"/>
    <w:qFormat/>
    <w:rPr>
      <w:rFonts w:ascii="Arial" w:eastAsia="黑体" w:hAnsi="Arial"/>
      <w:b/>
      <w:bCs/>
      <w:kern w:val="2"/>
      <w:sz w:val="28"/>
      <w:szCs w:val="28"/>
      <w:lang w:val="en-US" w:eastAsia="zh-CN" w:bidi="ar-SA"/>
    </w:rPr>
  </w:style>
  <w:style w:type="character" w:customStyle="1" w:styleId="Char11">
    <w:name w:val="正文文本 Char1"/>
    <w:link w:val="BodyText"/>
    <w:qFormat/>
    <w:rPr>
      <w:rFonts w:ascii="Times New Roman" w:eastAsia="宋体" w:hAnsi="Times New Roman" w:cs="Times New Roman"/>
      <w:b/>
      <w:bCs/>
      <w:kern w:val="0"/>
      <w:sz w:val="24"/>
      <w:szCs w:val="24"/>
    </w:rPr>
  </w:style>
  <w:style w:type="character" w:customStyle="1" w:styleId="bodytextChar1">
    <w:name w:val="body text Char1"/>
    <w:qFormat/>
    <w:rPr>
      <w:rFonts w:eastAsia="宋体"/>
      <w:kern w:val="2"/>
      <w:sz w:val="21"/>
      <w:lang w:val="en-US" w:eastAsia="zh-CN" w:bidi="ar-SA"/>
    </w:rPr>
  </w:style>
  <w:style w:type="character" w:customStyle="1" w:styleId="Char12">
    <w:name w:val="文档结构图 Char"/>
    <w:basedOn w:val="DefaultParagraphFont"/>
    <w:link w:val="DocumentMap"/>
    <w:semiHidden/>
    <w:qFormat/>
    <w:rPr>
      <w:rFonts w:ascii="Times New Roman" w:eastAsia="宋体" w:hAnsi="Times New Roman" w:cs="Times New Roman"/>
      <w:kern w:val="0"/>
      <w:sz w:val="20"/>
      <w:szCs w:val="24"/>
      <w:shd w:val="clear" w:color="auto" w:fill="000080"/>
    </w:rPr>
  </w:style>
  <w:style w:type="character" w:customStyle="1" w:styleId="3Char0">
    <w:name w:val="正文文本 3 Char"/>
    <w:basedOn w:val="DefaultParagraphFont"/>
    <w:link w:val="BodyText3"/>
    <w:qFormat/>
    <w:rPr>
      <w:rFonts w:ascii="Times New Roman" w:eastAsia="宋体" w:hAnsi="Times New Roman" w:cs="Times New Roman"/>
      <w:kern w:val="0"/>
      <w:sz w:val="16"/>
      <w:szCs w:val="16"/>
    </w:rPr>
  </w:style>
  <w:style w:type="character" w:customStyle="1" w:styleId="blue">
    <w:name w:val="blue"/>
    <w:basedOn w:val="DefaultParagraphFont"/>
    <w:qFormat/>
  </w:style>
  <w:style w:type="character" w:customStyle="1" w:styleId="proddescription">
    <w:name w:val="proddescription"/>
    <w:basedOn w:val="DefaultParagraphFont"/>
    <w:qFormat/>
  </w:style>
  <w:style w:type="character" w:customStyle="1" w:styleId="Char13">
    <w:name w:val="缩进正文 Char"/>
    <w:link w:val="a0"/>
    <w:qFormat/>
    <w:rPr>
      <w:rFonts w:ascii="Times New Roman" w:eastAsia="仿宋_GB2312" w:hAnsi="Times New Roman" w:cs="Times New Roman"/>
      <w:kern w:val="0"/>
      <w:sz w:val="28"/>
      <w:szCs w:val="20"/>
    </w:rPr>
  </w:style>
  <w:style w:type="paragraph" w:customStyle="1" w:styleId="a0">
    <w:name w:val="缩进正文"/>
    <w:basedOn w:val="Normal"/>
    <w:link w:val="Char13"/>
    <w:qFormat/>
    <w:pPr>
      <w:ind w:firstLine="560" w:firstLineChars="200"/>
    </w:pPr>
    <w:rPr>
      <w:rFonts w:ascii="Times New Roman" w:eastAsia="仿宋_GB2312" w:hAnsi="Times New Roman"/>
      <w:kern w:val="0"/>
      <w:sz w:val="28"/>
      <w:szCs w:val="20"/>
    </w:rPr>
  </w:style>
  <w:style w:type="character" w:customStyle="1" w:styleId="style9">
    <w:name w:val="style9"/>
    <w:basedOn w:val="DefaultParagraphFont"/>
    <w:qFormat/>
  </w:style>
  <w:style w:type="character" w:customStyle="1" w:styleId="prodheadlines">
    <w:name w:val="prodheadlines"/>
    <w:basedOn w:val="DefaultParagraphFont"/>
    <w:qFormat/>
  </w:style>
  <w:style w:type="character" w:customStyle="1" w:styleId="content1">
    <w:name w:val="content1"/>
    <w:qFormat/>
    <w:rPr>
      <w:rFonts w:ascii="??" w:hAnsi="??" w:hint="default"/>
      <w:sz w:val="16"/>
      <w:szCs w:val="16"/>
      <w:u w:val="none"/>
    </w:rPr>
  </w:style>
  <w:style w:type="character" w:customStyle="1" w:styleId="3Char2">
    <w:name w:val="正文文本缩进 3 Char"/>
    <w:basedOn w:val="DefaultParagraphFont"/>
    <w:link w:val="BodyTextIndent3"/>
    <w:qFormat/>
    <w:rPr>
      <w:rFonts w:ascii="宋体" w:eastAsia="宋体" w:hAnsi="Times New Roman" w:cs="Times New Roman"/>
      <w:b/>
      <w:bCs/>
      <w:kern w:val="0"/>
      <w:sz w:val="24"/>
      <w:szCs w:val="24"/>
    </w:rPr>
  </w:style>
  <w:style w:type="character" w:customStyle="1" w:styleId="1Char0">
    <w:name w:val="章标题1 Char"/>
    <w:qFormat/>
    <w:rPr>
      <w:rFonts w:eastAsia="宋体"/>
      <w:b/>
      <w:bCs/>
      <w:kern w:val="2"/>
      <w:sz w:val="32"/>
      <w:szCs w:val="32"/>
      <w:lang w:val="en-US" w:eastAsia="zh-CN" w:bidi="ar-SA"/>
    </w:rPr>
  </w:style>
  <w:style w:type="character" w:customStyle="1" w:styleId="font41">
    <w:name w:val="font41"/>
    <w:qFormat/>
    <w:rPr>
      <w:color w:val="000000"/>
      <w:spacing w:val="260"/>
      <w:sz w:val="18"/>
      <w:szCs w:val="18"/>
      <w:u w:val="none"/>
    </w:rPr>
  </w:style>
  <w:style w:type="character" w:customStyle="1" w:styleId="alt-edited1">
    <w:name w:val="alt-edited1"/>
    <w:qFormat/>
    <w:rPr>
      <w:color w:val="4D90F0"/>
    </w:rPr>
  </w:style>
  <w:style w:type="character" w:customStyle="1" w:styleId="info4">
    <w:name w:val="info4"/>
    <w:basedOn w:val="DefaultParagraphFont"/>
    <w:qFormat/>
  </w:style>
  <w:style w:type="character" w:customStyle="1" w:styleId="Char14">
    <w:name w:val="第*章 Char"/>
    <w:qFormat/>
    <w:rPr>
      <w:rFonts w:ascii="Arial" w:eastAsia="黑体" w:hAnsi="Arial"/>
      <w:b/>
      <w:bCs/>
      <w:kern w:val="2"/>
      <w:sz w:val="32"/>
      <w:szCs w:val="32"/>
    </w:rPr>
  </w:style>
  <w:style w:type="character" w:customStyle="1" w:styleId="text">
    <w:name w:val="text"/>
    <w:basedOn w:val="DefaultParagraphFont"/>
    <w:qFormat/>
  </w:style>
  <w:style w:type="character" w:customStyle="1" w:styleId="2Char1">
    <w:name w:val="正文文本缩进 2 Char"/>
    <w:basedOn w:val="DefaultParagraphFont"/>
    <w:link w:val="BodyTextIndent2"/>
    <w:qFormat/>
    <w:rPr>
      <w:rFonts w:ascii="宋体" w:eastAsia="宋体" w:hAnsi="宋体" w:cs="Times New Roman"/>
      <w:kern w:val="0"/>
      <w:sz w:val="20"/>
      <w:szCs w:val="24"/>
    </w:rPr>
  </w:style>
  <w:style w:type="character" w:customStyle="1" w:styleId="font11">
    <w:name w:val="font11"/>
    <w:qFormat/>
    <w:rPr>
      <w:rFonts w:ascii="ˎ̥" w:hAnsi="ˎ̥" w:hint="default"/>
    </w:rPr>
  </w:style>
  <w:style w:type="character" w:customStyle="1" w:styleId="Char15">
    <w:name w:val="批注框文本 Char"/>
    <w:basedOn w:val="DefaultParagraphFont"/>
    <w:link w:val="BalloonText"/>
    <w:uiPriority w:val="99"/>
    <w:qFormat/>
    <w:rPr>
      <w:rFonts w:ascii="Times New Roman" w:eastAsia="宋体" w:hAnsi="Times New Roman" w:cs="Times New Roman"/>
      <w:kern w:val="0"/>
      <w:sz w:val="18"/>
      <w:szCs w:val="18"/>
    </w:rPr>
  </w:style>
  <w:style w:type="character" w:customStyle="1" w:styleId="mode">
    <w:name w:val="mode"/>
    <w:basedOn w:val="DefaultParagraphFont"/>
    <w:qFormat/>
  </w:style>
  <w:style w:type="character" w:customStyle="1" w:styleId="3Char10">
    <w:name w:val="正文文本 3 Char1"/>
    <w:basedOn w:val="DefaultParagraphFont"/>
    <w:link w:val="BodyText3"/>
    <w:uiPriority w:val="99"/>
    <w:semiHidden/>
    <w:qFormat/>
    <w:rPr>
      <w:rFonts w:ascii="Calibri" w:eastAsia="宋体" w:hAnsi="Calibri" w:cs="Times New Roman"/>
      <w:sz w:val="16"/>
      <w:szCs w:val="16"/>
    </w:rPr>
  </w:style>
  <w:style w:type="character" w:customStyle="1" w:styleId="Char16">
    <w:name w:val="纯文本 Char1"/>
    <w:basedOn w:val="DefaultParagraphFont"/>
    <w:link w:val="PlainText"/>
    <w:uiPriority w:val="99"/>
    <w:semiHidden/>
    <w:qFormat/>
    <w:rPr>
      <w:rFonts w:ascii="宋体" w:eastAsia="宋体" w:hAnsi="Courier New" w:cs="Courier New"/>
      <w:szCs w:val="21"/>
    </w:rPr>
  </w:style>
  <w:style w:type="character" w:customStyle="1" w:styleId="Char17">
    <w:name w:val="文档结构图 Char1"/>
    <w:basedOn w:val="DefaultParagraphFont"/>
    <w:link w:val="DocumentMap"/>
    <w:uiPriority w:val="99"/>
    <w:semiHidden/>
    <w:qFormat/>
    <w:rPr>
      <w:rFonts w:ascii="宋体" w:eastAsia="宋体" w:hAnsi="Calibri" w:cs="Times New Roman"/>
      <w:sz w:val="18"/>
      <w:szCs w:val="18"/>
    </w:rPr>
  </w:style>
  <w:style w:type="character" w:customStyle="1" w:styleId="Char18">
    <w:name w:val="日期 Char1"/>
    <w:basedOn w:val="DefaultParagraphFont"/>
    <w:link w:val="Date"/>
    <w:uiPriority w:val="99"/>
    <w:semiHidden/>
    <w:qFormat/>
    <w:rPr>
      <w:rFonts w:ascii="Calibri" w:eastAsia="宋体" w:hAnsi="Calibri" w:cs="Times New Roman"/>
    </w:rPr>
  </w:style>
  <w:style w:type="character" w:customStyle="1" w:styleId="Char20">
    <w:name w:val="正文文本 Char2"/>
    <w:basedOn w:val="DefaultParagraphFont"/>
    <w:link w:val="BodyText"/>
    <w:uiPriority w:val="99"/>
    <w:semiHidden/>
    <w:qFormat/>
    <w:rPr>
      <w:rFonts w:ascii="Calibri" w:eastAsia="宋体" w:hAnsi="Calibri" w:cs="Times New Roman"/>
    </w:rPr>
  </w:style>
  <w:style w:type="character" w:customStyle="1" w:styleId="Char19">
    <w:name w:val="正文文本缩进 Char1"/>
    <w:basedOn w:val="DefaultParagraphFont"/>
    <w:link w:val="BodyTextIndent"/>
    <w:uiPriority w:val="99"/>
    <w:semiHidden/>
    <w:qFormat/>
    <w:rPr>
      <w:rFonts w:ascii="Calibri" w:eastAsia="宋体" w:hAnsi="Calibri" w:cs="Times New Roman"/>
    </w:rPr>
  </w:style>
  <w:style w:type="character" w:customStyle="1" w:styleId="Char110">
    <w:name w:val="批注文字 Char1"/>
    <w:basedOn w:val="DefaultParagraphFont"/>
    <w:link w:val="CommentText"/>
    <w:uiPriority w:val="99"/>
    <w:semiHidden/>
    <w:qFormat/>
    <w:rPr>
      <w:rFonts w:ascii="Calibri" w:eastAsia="宋体" w:hAnsi="Calibri" w:cs="Times New Roman"/>
    </w:rPr>
  </w:style>
  <w:style w:type="character" w:customStyle="1" w:styleId="HTMLChar1">
    <w:name w:val="HTML 预设格式 Char1"/>
    <w:basedOn w:val="DefaultParagraphFont"/>
    <w:link w:val="HTMLPreformatted"/>
    <w:uiPriority w:val="99"/>
    <w:semiHidden/>
    <w:qFormat/>
    <w:rPr>
      <w:rFonts w:ascii="Courier New" w:eastAsia="宋体" w:hAnsi="Courier New" w:cs="Courier New"/>
      <w:sz w:val="20"/>
      <w:szCs w:val="20"/>
    </w:rPr>
  </w:style>
  <w:style w:type="character" w:customStyle="1" w:styleId="2Char10">
    <w:name w:val="正文文本缩进 2 Char1"/>
    <w:basedOn w:val="DefaultParagraphFont"/>
    <w:link w:val="BodyTextIndent2"/>
    <w:uiPriority w:val="99"/>
    <w:semiHidden/>
    <w:qFormat/>
    <w:rPr>
      <w:rFonts w:ascii="Calibri" w:eastAsia="宋体" w:hAnsi="Calibri" w:cs="Times New Roman"/>
    </w:rPr>
  </w:style>
  <w:style w:type="character" w:customStyle="1" w:styleId="2Char11">
    <w:name w:val="正文文本 2 Char1"/>
    <w:basedOn w:val="DefaultParagraphFont"/>
    <w:link w:val="BodyText2"/>
    <w:uiPriority w:val="99"/>
    <w:semiHidden/>
    <w:qFormat/>
    <w:rPr>
      <w:rFonts w:ascii="Calibri" w:eastAsia="宋体" w:hAnsi="Calibri" w:cs="Times New Roman"/>
    </w:rPr>
  </w:style>
  <w:style w:type="character" w:customStyle="1" w:styleId="Char111">
    <w:name w:val="批注框文本 Char1"/>
    <w:basedOn w:val="DefaultParagraphFont"/>
    <w:link w:val="BalloonText"/>
    <w:uiPriority w:val="99"/>
    <w:semiHidden/>
    <w:qFormat/>
    <w:rPr>
      <w:rFonts w:ascii="Calibri" w:eastAsia="宋体" w:hAnsi="Calibri" w:cs="Times New Roman"/>
      <w:sz w:val="18"/>
      <w:szCs w:val="18"/>
    </w:rPr>
  </w:style>
  <w:style w:type="character" w:customStyle="1" w:styleId="3Char11">
    <w:name w:val="正文文本缩进 3 Char1"/>
    <w:basedOn w:val="DefaultParagraphFont"/>
    <w:link w:val="BodyTextIndent3"/>
    <w:uiPriority w:val="99"/>
    <w:semiHidden/>
    <w:qFormat/>
    <w:rPr>
      <w:rFonts w:ascii="Calibri" w:eastAsia="宋体" w:hAnsi="Calibri" w:cs="Times New Roman"/>
      <w:sz w:val="16"/>
      <w:szCs w:val="16"/>
    </w:rPr>
  </w:style>
  <w:style w:type="character" w:customStyle="1" w:styleId="Char112">
    <w:name w:val="标题 Char1"/>
    <w:basedOn w:val="DefaultParagraphFont"/>
    <w:link w:val="Title"/>
    <w:uiPriority w:val="10"/>
    <w:qFormat/>
    <w:rPr>
      <w:rFonts w:eastAsia="宋体" w:asciiTheme="majorHAnsi" w:hAnsiTheme="majorHAnsi" w:cstheme="majorBidi"/>
      <w:b/>
      <w:bCs/>
      <w:sz w:val="32"/>
      <w:szCs w:val="32"/>
    </w:rPr>
  </w:style>
  <w:style w:type="character" w:customStyle="1" w:styleId="Char113">
    <w:name w:val="批注主题 Char1"/>
    <w:basedOn w:val="Char110"/>
    <w:link w:val="CommentSubject"/>
    <w:uiPriority w:val="99"/>
    <w:semiHidden/>
    <w:qFormat/>
    <w:rPr>
      <w:b/>
      <w:bCs/>
    </w:rPr>
  </w:style>
  <w:style w:type="character" w:customStyle="1" w:styleId="Char114">
    <w:name w:val="正文首行缩进 Char1"/>
    <w:basedOn w:val="Char20"/>
    <w:link w:val="BodyTextFirstIndent"/>
    <w:uiPriority w:val="99"/>
    <w:semiHidden/>
    <w:qFormat/>
  </w:style>
  <w:style w:type="paragraph" w:customStyle="1" w:styleId="xl34">
    <w:name w:val="xl34"/>
    <w:basedOn w:val="Normal"/>
    <w:qFormat/>
    <w:pPr>
      <w:widowControl/>
      <w:pBdr>
        <w:left w:val="single" w:sz="4" w:space="0" w:color="auto"/>
      </w:pBdr>
      <w:spacing w:before="100" w:beforeAutospacing="1" w:after="100" w:afterAutospacing="1"/>
      <w:jc w:val="center"/>
      <w:textAlignment w:val="center"/>
    </w:pPr>
    <w:rPr>
      <w:rFonts w:ascii="宋体" w:hAnsi="宋体"/>
      <w:kern w:val="0"/>
      <w:sz w:val="24"/>
      <w:szCs w:val="24"/>
    </w:rPr>
  </w:style>
  <w:style w:type="paragraph" w:customStyle="1" w:styleId="1">
    <w:name w:val="编号1"/>
    <w:basedOn w:val="Normal"/>
    <w:qFormat/>
    <w:pPr>
      <w:tabs>
        <w:tab w:val="left" w:pos="360"/>
      </w:tabs>
      <w:adjustRightInd w:val="0"/>
      <w:spacing w:line="300" w:lineRule="auto"/>
      <w:ind w:left="360" w:right="210" w:hanging="360"/>
      <w:textAlignment w:val="center"/>
    </w:pPr>
    <w:rPr>
      <w:rFonts w:ascii="宋体" w:hAnsi="宋体"/>
      <w:snapToGrid w:val="0"/>
      <w:spacing w:val="10"/>
      <w:kern w:val="24"/>
      <w:szCs w:val="24"/>
    </w:rPr>
  </w:style>
  <w:style w:type="paragraph" w:customStyle="1" w:styleId="--">
    <w:name w:val="--规划正文"/>
    <w:basedOn w:val="Normal"/>
    <w:qFormat/>
    <w:pPr>
      <w:spacing w:line="360" w:lineRule="auto"/>
      <w:ind w:firstLine="200" w:firstLineChars="200"/>
    </w:pPr>
    <w:rPr>
      <w:rFonts w:ascii="Times New Roman" w:hAnsi="Times New Roman"/>
      <w:szCs w:val="20"/>
    </w:rPr>
  </w:style>
  <w:style w:type="paragraph" w:customStyle="1" w:styleId="a1">
    <w:name w:val="产品描述"/>
    <w:qFormat/>
    <w:pPr>
      <w:widowControl w:val="0"/>
      <w:autoSpaceDE w:val="0"/>
      <w:autoSpaceDN w:val="0"/>
      <w:adjustRightInd w:val="0"/>
      <w:spacing w:line="270" w:lineRule="atLeast"/>
      <w:ind w:firstLine="397"/>
      <w:jc w:val="both"/>
    </w:pPr>
    <w:rPr>
      <w:rFonts w:ascii="宋体" w:eastAsia="宋体" w:hAnsi="Times New Roman" w:cs="Times New Roman"/>
      <w:sz w:val="18"/>
      <w:szCs w:val="18"/>
      <w:lang w:val="en-US" w:eastAsia="zh-CN" w:bidi="ar-SA"/>
    </w:rPr>
  </w:style>
  <w:style w:type="paragraph" w:customStyle="1" w:styleId="Char21">
    <w:name w:val="Char"/>
    <w:basedOn w:val="Normal"/>
    <w:qFormat/>
    <w:pPr>
      <w:widowControl/>
      <w:spacing w:after="160" w:line="240" w:lineRule="exact"/>
      <w:jc w:val="left"/>
    </w:pPr>
    <w:rPr>
      <w:rFonts w:ascii="Verdana" w:eastAsia="仿宋_GB2312" w:hAnsi="Verdana"/>
      <w:kern w:val="0"/>
      <w:sz w:val="24"/>
      <w:szCs w:val="20"/>
      <w:lang w:eastAsia="en-US"/>
    </w:rPr>
  </w:style>
  <w:style w:type="paragraph" w:customStyle="1" w:styleId="Char22">
    <w:name w:val="Char2"/>
    <w:basedOn w:val="Normal"/>
    <w:qFormat/>
    <w:pPr>
      <w:widowControl/>
      <w:spacing w:after="160" w:line="240" w:lineRule="exact"/>
      <w:jc w:val="left"/>
    </w:pPr>
    <w:rPr>
      <w:rFonts w:ascii="Verdana" w:eastAsia="仿宋_GB2312" w:hAnsi="Verdana"/>
      <w:kern w:val="0"/>
      <w:sz w:val="24"/>
      <w:szCs w:val="20"/>
      <w:lang w:eastAsia="en-US"/>
    </w:rPr>
  </w:style>
  <w:style w:type="paragraph" w:customStyle="1" w:styleId="9">
    <w:name w:val="9"/>
    <w:basedOn w:val="Normal"/>
    <w:next w:val="NormalIndent"/>
    <w:qFormat/>
    <w:pPr>
      <w:autoSpaceDE w:val="0"/>
      <w:autoSpaceDN w:val="0"/>
      <w:adjustRightInd w:val="0"/>
      <w:ind w:firstLine="420"/>
      <w:jc w:val="left"/>
      <w:textAlignment w:val="baseline"/>
    </w:pPr>
    <w:rPr>
      <w:rFonts w:ascii="宋体" w:hAnsi="Times New Roman"/>
      <w:kern w:val="0"/>
      <w:sz w:val="34"/>
      <w:szCs w:val="20"/>
    </w:rPr>
  </w:style>
  <w:style w:type="paragraph" w:customStyle="1" w:styleId="00">
    <w:name w:val="00"/>
    <w:basedOn w:val="Normal"/>
    <w:qFormat/>
    <w:pPr>
      <w:autoSpaceDE w:val="0"/>
      <w:autoSpaceDN w:val="0"/>
      <w:adjustRightInd w:val="0"/>
      <w:jc w:val="left"/>
    </w:pPr>
    <w:rPr>
      <w:rFonts w:ascii="黑体" w:eastAsia="黑体" w:hAnsi="Times New Roman"/>
      <w:b/>
      <w:bCs/>
      <w:kern w:val="0"/>
      <w:sz w:val="20"/>
      <w:szCs w:val="20"/>
    </w:rPr>
  </w:style>
  <w:style w:type="paragraph" w:customStyle="1" w:styleId="cont">
    <w:name w:val="cont"/>
    <w:basedOn w:val="Normal"/>
    <w:qFormat/>
    <w:pPr>
      <w:adjustRightInd w:val="0"/>
      <w:spacing w:before="100" w:after="100" w:line="360" w:lineRule="auto"/>
      <w:ind w:firstLine="200" w:firstLineChars="200"/>
      <w:jc w:val="left"/>
      <w:textAlignment w:val="baseline"/>
    </w:pPr>
    <w:rPr>
      <w:rFonts w:ascii="Arial" w:hAnsi="Arial"/>
      <w:kern w:val="0"/>
      <w:sz w:val="24"/>
      <w:szCs w:val="20"/>
    </w:rPr>
  </w:style>
  <w:style w:type="paragraph" w:customStyle="1" w:styleId="blue1">
    <w:name w:val="blue1"/>
    <w:basedOn w:val="Normal"/>
    <w:qFormat/>
    <w:pPr>
      <w:widowControl/>
      <w:spacing w:before="100" w:beforeAutospacing="1" w:after="100" w:afterAutospacing="1"/>
      <w:jc w:val="left"/>
    </w:pPr>
    <w:rPr>
      <w:rFonts w:ascii="宋体" w:hAnsi="宋体" w:cs="宋体"/>
      <w:kern w:val="0"/>
      <w:sz w:val="24"/>
      <w:szCs w:val="24"/>
    </w:rPr>
  </w:style>
  <w:style w:type="paragraph" w:customStyle="1" w:styleId="word">
    <w:name w:val="word"/>
    <w:basedOn w:val="Normal"/>
    <w:qFormat/>
    <w:pPr>
      <w:widowControl/>
      <w:spacing w:before="100" w:beforeAutospacing="1" w:after="100" w:afterAutospacing="1" w:line="301" w:lineRule="atLeast"/>
      <w:jc w:val="left"/>
    </w:pPr>
    <w:rPr>
      <w:rFonts w:ascii="ˎ̥" w:hAnsi="ˎ̥"/>
      <w:color w:val="000000"/>
      <w:kern w:val="0"/>
      <w:sz w:val="20"/>
      <w:szCs w:val="20"/>
    </w:rPr>
  </w:style>
  <w:style w:type="paragraph" w:customStyle="1" w:styleId="21313">
    <w:name w:val="样式 标题 2 + 段前: 13 磅 段后: 13 磅 行距: 单倍行距"/>
    <w:basedOn w:val="Heading2"/>
    <w:qFormat/>
    <w:pPr>
      <w:adjustRightInd/>
      <w:spacing w:before="0" w:after="0"/>
      <w:jc w:val="both"/>
      <w:textAlignment w:val="auto"/>
    </w:pPr>
    <w:rPr>
      <w:rFonts w:ascii="Cambria" w:hAnsi="Cambria" w:cs="宋体"/>
      <w:kern w:val="2"/>
      <w:sz w:val="32"/>
    </w:rPr>
  </w:style>
  <w:style w:type="paragraph" w:customStyle="1" w:styleId="RFItextfrom3rdLevel">
    <w:name w:val="RFI text from 3rd Level"/>
    <w:basedOn w:val="Normal"/>
    <w:qFormat/>
    <w:pPr>
      <w:widowControl/>
      <w:tabs>
        <w:tab w:val="left" w:pos="1080"/>
      </w:tabs>
      <w:spacing w:beforeLines="50" w:line="360" w:lineRule="auto"/>
    </w:pPr>
    <w:rPr>
      <w:rFonts w:ascii="Arial (W1)" w:hAnsi="Arial (W1)"/>
      <w:bCs/>
      <w:kern w:val="0"/>
      <w:sz w:val="24"/>
      <w:szCs w:val="24"/>
      <w:lang w:val="en-GB"/>
    </w:rPr>
  </w:style>
  <w:style w:type="paragraph" w:customStyle="1" w:styleId="10">
    <w:name w:val="列出段落1"/>
    <w:basedOn w:val="Normal"/>
    <w:link w:val="a21"/>
    <w:qFormat/>
    <w:pPr>
      <w:ind w:firstLine="420" w:firstLineChars="200"/>
    </w:pPr>
    <w:rPr>
      <w:rFonts w:cs="Calibri"/>
      <w:szCs w:val="21"/>
    </w:rPr>
  </w:style>
  <w:style w:type="paragraph" w:customStyle="1" w:styleId="5">
    <w:name w:val="5"/>
    <w:basedOn w:val="Normal"/>
    <w:qFormat/>
    <w:pPr>
      <w:autoSpaceDE w:val="0"/>
      <w:autoSpaceDN w:val="0"/>
      <w:adjustRightInd w:val="0"/>
      <w:jc w:val="left"/>
    </w:pPr>
    <w:rPr>
      <w:rFonts w:ascii="宋体" w:hAnsi="Times New Roman"/>
      <w:b/>
      <w:bCs/>
      <w:kern w:val="0"/>
      <w:sz w:val="18"/>
      <w:szCs w:val="18"/>
    </w:rPr>
  </w:style>
  <w:style w:type="paragraph" w:customStyle="1" w:styleId="Style28">
    <w:name w:val="_Style 28"/>
    <w:next w:val="Normal"/>
    <w:qFormat/>
    <w:pPr>
      <w:widowControl w:val="0"/>
      <w:jc w:val="both"/>
    </w:pPr>
    <w:rPr>
      <w:rFonts w:ascii="Calibri" w:eastAsia="宋体" w:hAnsi="Calibri" w:cs="Times New Roman"/>
      <w:kern w:val="2"/>
      <w:sz w:val="21"/>
      <w:szCs w:val="22"/>
      <w:lang w:val="en-US" w:eastAsia="zh-CN" w:bidi="ar-SA"/>
    </w:rPr>
  </w:style>
  <w:style w:type="paragraph" w:customStyle="1" w:styleId="a2">
    <w:name w:val="设计依据"/>
    <w:basedOn w:val="BodyText"/>
    <w:qFormat/>
    <w:pPr>
      <w:tabs>
        <w:tab w:val="left" w:pos="1440"/>
      </w:tabs>
      <w:adjustRightInd w:val="0"/>
      <w:ind w:left="1440" w:hanging="420"/>
      <w:textAlignment w:val="baseline"/>
    </w:pPr>
    <w:rPr>
      <w:rFonts w:ascii="宋体" w:hAnsi="宋体"/>
      <w:b w:val="0"/>
      <w:sz w:val="28"/>
      <w:szCs w:val="18"/>
    </w:rPr>
  </w:style>
  <w:style w:type="paragraph" w:styleId="ListParagraph">
    <w:name w:val="List Paragraph"/>
    <w:basedOn w:val="Normal"/>
    <w:uiPriority w:val="34"/>
    <w:qFormat/>
    <w:pPr>
      <w:ind w:firstLine="420" w:firstLineChars="200"/>
    </w:pPr>
  </w:style>
  <w:style w:type="paragraph" w:customStyle="1" w:styleId="style2">
    <w:name w:val="style2"/>
    <w:basedOn w:val="Normal"/>
    <w:qFormat/>
    <w:pPr>
      <w:widowControl/>
      <w:spacing w:before="100" w:beforeAutospacing="1" w:after="100" w:afterAutospacing="1"/>
      <w:jc w:val="left"/>
    </w:pPr>
    <w:rPr>
      <w:rFonts w:ascii="宋体" w:hAnsi="宋体" w:cs="宋体"/>
      <w:kern w:val="0"/>
      <w:sz w:val="18"/>
      <w:szCs w:val="18"/>
    </w:rPr>
  </w:style>
  <w:style w:type="paragraph" w:customStyle="1" w:styleId="---">
    <w:name w:val="--规划-小标题"/>
    <w:basedOn w:val="Normal"/>
    <w:next w:val="--"/>
    <w:qFormat/>
    <w:pPr>
      <w:keepNext/>
      <w:keepLines/>
      <w:spacing w:line="360" w:lineRule="auto"/>
      <w:outlineLvl w:val="4"/>
    </w:pPr>
    <w:rPr>
      <w:rFonts w:ascii="Times New Roman" w:eastAsia="黑体" w:hAnsi="Times New Roman"/>
      <w:szCs w:val="24"/>
    </w:rPr>
  </w:style>
  <w:style w:type="paragraph" w:customStyle="1" w:styleId="a3">
    <w:name w:val="自定义正文"/>
    <w:basedOn w:val="Normal"/>
    <w:qFormat/>
    <w:pPr>
      <w:spacing w:afterLines="50"/>
      <w:ind w:left="600" w:leftChars="600"/>
    </w:pPr>
    <w:rPr>
      <w:rFonts w:ascii="Times New Roman" w:hAnsi="Times New Roman"/>
      <w:szCs w:val="24"/>
    </w:rPr>
  </w:style>
  <w:style w:type="paragraph" w:customStyle="1" w:styleId="a4">
    <w:name w:val="段落正文"/>
    <w:basedOn w:val="PlainText"/>
    <w:qFormat/>
    <w:pPr>
      <w:ind w:firstLine="560" w:firstLineChars="200"/>
    </w:pPr>
    <w:rPr>
      <w:sz w:val="28"/>
    </w:rPr>
  </w:style>
  <w:style w:type="paragraph" w:customStyle="1" w:styleId="a5">
    <w:name w:val="封面文档标题"/>
    <w:basedOn w:val="Normal"/>
    <w:qFormat/>
    <w:pPr>
      <w:autoSpaceDE w:val="0"/>
      <w:autoSpaceDN w:val="0"/>
      <w:adjustRightInd w:val="0"/>
      <w:spacing w:line="360" w:lineRule="auto"/>
      <w:jc w:val="center"/>
    </w:pPr>
    <w:rPr>
      <w:rFonts w:ascii="Arial" w:hAnsi="Arial"/>
      <w:b/>
      <w:kern w:val="0"/>
      <w:sz w:val="56"/>
      <w:szCs w:val="24"/>
    </w:rPr>
  </w:style>
  <w:style w:type="paragraph" w:customStyle="1" w:styleId="----">
    <w:name w:val="--规划-表格-居中"/>
    <w:basedOn w:val="--"/>
    <w:qFormat/>
    <w:pPr>
      <w:spacing w:line="240" w:lineRule="auto"/>
      <w:ind w:firstLine="0" w:firstLineChars="0"/>
      <w:jc w:val="center"/>
    </w:pPr>
    <w:rPr>
      <w:sz w:val="20"/>
    </w:rPr>
  </w:style>
  <w:style w:type="paragraph" w:customStyle="1" w:styleId="CharCharCharChar">
    <w:name w:val="Char Char Char Char"/>
    <w:basedOn w:val="Normal"/>
    <w:qFormat/>
    <w:pPr>
      <w:widowControl/>
      <w:spacing w:after="160" w:line="240" w:lineRule="exact"/>
      <w:jc w:val="left"/>
    </w:pPr>
    <w:rPr>
      <w:rFonts w:ascii="Verdana" w:eastAsia="仿宋_GB2312" w:hAnsi="Verdana"/>
      <w:kern w:val="0"/>
      <w:sz w:val="24"/>
      <w:szCs w:val="20"/>
      <w:lang w:eastAsia="en-US"/>
    </w:rPr>
  </w:style>
  <w:style w:type="paragraph" w:customStyle="1" w:styleId="NormalParagraph">
    <w:name w:val="Normal Paragraph"/>
    <w:basedOn w:val="Normal"/>
    <w:qFormat/>
    <w:pPr>
      <w:widowControl/>
      <w:spacing w:before="120" w:line="360" w:lineRule="auto"/>
      <w:ind w:firstLine="425"/>
    </w:pPr>
    <w:rPr>
      <w:rFonts w:ascii="Times New Roman" w:hAnsi="Times New Roman"/>
      <w:kern w:val="0"/>
      <w:sz w:val="24"/>
      <w:szCs w:val="24"/>
    </w:rPr>
  </w:style>
  <w:style w:type="paragraph" w:customStyle="1" w:styleId="a6">
    <w:name w:val="正文文字缩进项目"/>
    <w:basedOn w:val="BodyTextIndent"/>
    <w:qFormat/>
    <w:pPr>
      <w:tabs>
        <w:tab w:val="left" w:pos="840"/>
      </w:tabs>
      <w:spacing w:after="120" w:line="240" w:lineRule="auto"/>
      <w:ind w:left="840" w:firstLine="0" w:firstLineChars="0"/>
    </w:pPr>
    <w:rPr>
      <w:rFonts w:ascii="Tahoma" w:hAnsi="Tahoma"/>
      <w:sz w:val="22"/>
      <w:szCs w:val="20"/>
    </w:rPr>
  </w:style>
  <w:style w:type="paragraph" w:customStyle="1" w:styleId="11">
    <w:name w:val="小标题 1"/>
    <w:basedOn w:val="Normal"/>
    <w:qFormat/>
    <w:pPr>
      <w:autoSpaceDE w:val="0"/>
      <w:autoSpaceDN w:val="0"/>
      <w:adjustRightInd w:val="0"/>
      <w:spacing w:line="360" w:lineRule="atLeast"/>
    </w:pPr>
    <w:rPr>
      <w:rFonts w:ascii="文鼎粗黑" w:eastAsia="文鼎粗黑" w:hAnsi="Times New Roman"/>
      <w:kern w:val="0"/>
      <w:sz w:val="22"/>
      <w:szCs w:val="20"/>
    </w:rPr>
  </w:style>
  <w:style w:type="paragraph" w:customStyle="1" w:styleId="2">
    <w:name w:val="样式2"/>
    <w:basedOn w:val="Title"/>
    <w:next w:val="12"/>
    <w:qFormat/>
    <w:pPr>
      <w:spacing w:before="120" w:after="120"/>
    </w:pPr>
    <w:rPr>
      <w:rFonts w:eastAsia="黑体"/>
      <w:b w:val="0"/>
      <w:sz w:val="30"/>
      <w:szCs w:val="30"/>
    </w:rPr>
  </w:style>
  <w:style w:type="paragraph" w:customStyle="1" w:styleId="12">
    <w:name w:val="样式1"/>
    <w:basedOn w:val="Title"/>
    <w:qFormat/>
    <w:pPr>
      <w:spacing w:before="120" w:after="120"/>
    </w:pPr>
    <w:rPr>
      <w:rFonts w:eastAsia="黑体"/>
      <w:b w:val="0"/>
      <w:sz w:val="30"/>
      <w:szCs w:val="21"/>
    </w:rPr>
  </w:style>
  <w:style w:type="paragraph" w:customStyle="1" w:styleId="41">
    <w:name w:val="样式41"/>
    <w:basedOn w:val="Normal"/>
    <w:qFormat/>
    <w:pPr>
      <w:tabs>
        <w:tab w:val="left" w:pos="945"/>
        <w:tab w:val="left" w:pos="2040"/>
      </w:tabs>
      <w:spacing w:line="360" w:lineRule="auto"/>
      <w:ind w:left="2040" w:hanging="360"/>
    </w:pPr>
    <w:rPr>
      <w:rFonts w:ascii="Times New Roman" w:hAnsi="Times New Roman"/>
      <w:b/>
      <w:color w:val="000000"/>
      <w:sz w:val="24"/>
      <w:szCs w:val="20"/>
    </w:rPr>
  </w:style>
  <w:style w:type="paragraph" w:customStyle="1" w:styleId="CharChar">
    <w:name w:val="Char Char"/>
    <w:basedOn w:val="Normal"/>
    <w:qFormat/>
    <w:rPr>
      <w:rFonts w:ascii="Tahoma" w:hAnsi="Tahoma"/>
      <w:sz w:val="24"/>
      <w:szCs w:val="20"/>
    </w:rPr>
  </w:style>
  <w:style w:type="paragraph" w:customStyle="1" w:styleId="TableContents">
    <w:name w:val="Table Contents"/>
    <w:basedOn w:val="Normal"/>
    <w:qFormat/>
    <w:pPr>
      <w:suppressAutoHyphens/>
      <w:autoSpaceDE w:val="0"/>
      <w:spacing w:after="120"/>
      <w:jc w:val="left"/>
    </w:pPr>
    <w:rPr>
      <w:rFonts w:ascii="Helvetica" w:hAnsi="Helvetica"/>
      <w:kern w:val="1"/>
      <w:sz w:val="20"/>
      <w:szCs w:val="20"/>
    </w:rPr>
  </w:style>
  <w:style w:type="paragraph" w:customStyle="1" w:styleId="CharCharChar">
    <w:name w:val="Char Char Char"/>
    <w:basedOn w:val="Normal"/>
    <w:qFormat/>
    <w:rPr>
      <w:rFonts w:ascii="Tahoma" w:hAnsi="Tahoma"/>
      <w:sz w:val="24"/>
      <w:szCs w:val="20"/>
    </w:rPr>
  </w:style>
  <w:style w:type="paragraph" w:customStyle="1" w:styleId="CharCharCharCharChar">
    <w:name w:val="Char Char Char Char Char"/>
    <w:basedOn w:val="Normal"/>
    <w:qFormat/>
    <w:rPr>
      <w:rFonts w:ascii="Tahoma" w:hAnsi="Tahoma"/>
      <w:sz w:val="24"/>
      <w:szCs w:val="20"/>
    </w:rPr>
  </w:style>
  <w:style w:type="paragraph" w:customStyle="1" w:styleId="a7">
    <w:name w:val="文档正文"/>
    <w:basedOn w:val="Normal"/>
    <w:qFormat/>
    <w:pPr>
      <w:adjustRightInd w:val="0"/>
      <w:spacing w:line="480" w:lineRule="atLeast"/>
      <w:ind w:firstLine="567" w:firstLineChars="200"/>
      <w:textAlignment w:val="baseline"/>
    </w:pPr>
    <w:rPr>
      <w:rFonts w:ascii="长城仿宋" w:hAnsi="Times New Roman"/>
      <w:kern w:val="0"/>
      <w:szCs w:val="20"/>
    </w:rPr>
  </w:style>
  <w:style w:type="paragraph" w:customStyle="1" w:styleId="USE1">
    <w:name w:val="USE 1"/>
    <w:basedOn w:val="Normal"/>
    <w:qFormat/>
    <w:pPr>
      <w:spacing w:line="200" w:lineRule="atLeast"/>
      <w:jc w:val="left"/>
    </w:pPr>
    <w:rPr>
      <w:rFonts w:ascii="宋体" w:hAnsi="宋体"/>
      <w:b/>
      <w:sz w:val="24"/>
      <w:szCs w:val="28"/>
    </w:rPr>
  </w:style>
  <w:style w:type="paragraph" w:customStyle="1" w:styleId="--0">
    <w:name w:val="--编号内缩进"/>
    <w:basedOn w:val="Normal"/>
    <w:qFormat/>
    <w:pPr>
      <w:spacing w:line="360" w:lineRule="auto"/>
      <w:ind w:left="420" w:firstLine="200" w:firstLineChars="200"/>
    </w:pPr>
    <w:rPr>
      <w:rFonts w:ascii="Times New Roman" w:hAnsi="Times New Roman"/>
      <w:szCs w:val="21"/>
    </w:rPr>
  </w:style>
  <w:style w:type="paragraph" w:customStyle="1" w:styleId="a8">
    <w:name w:val="图"/>
    <w:basedOn w:val="Normal"/>
    <w:uiPriority w:val="99"/>
    <w:qFormat/>
    <w:pPr>
      <w:keepNext/>
      <w:adjustRightInd w:val="0"/>
      <w:snapToGrid w:val="0"/>
      <w:spacing w:before="60" w:after="60" w:line="300" w:lineRule="auto"/>
      <w:jc w:val="center"/>
    </w:pPr>
    <w:rPr>
      <w:rFonts w:ascii="Times New Roman" w:hAnsi="Times New Roman"/>
      <w:spacing w:val="20"/>
      <w:kern w:val="0"/>
      <w:sz w:val="24"/>
      <w:szCs w:val="20"/>
    </w:rPr>
  </w:style>
  <w:style w:type="paragraph" w:customStyle="1" w:styleId="a9">
    <w:name w:val="È±Ê¡ÎÄ±¾"/>
    <w:basedOn w:val="Normal"/>
    <w:qFormat/>
    <w:pPr>
      <w:widowControl/>
      <w:overflowPunct w:val="0"/>
      <w:autoSpaceDE w:val="0"/>
      <w:autoSpaceDN w:val="0"/>
      <w:adjustRightInd w:val="0"/>
      <w:jc w:val="left"/>
      <w:textAlignment w:val="baseline"/>
    </w:pPr>
    <w:rPr>
      <w:rFonts w:ascii="Times New Roman" w:hAnsi="Times New Roman"/>
      <w:kern w:val="0"/>
      <w:sz w:val="24"/>
      <w:szCs w:val="20"/>
    </w:rPr>
  </w:style>
  <w:style w:type="paragraph" w:customStyle="1" w:styleId="6">
    <w:name w:val="6"/>
    <w:basedOn w:val="5"/>
    <w:qFormat/>
    <w:pPr>
      <w:spacing w:line="270" w:lineRule="atLeast"/>
      <w:jc w:val="both"/>
    </w:pPr>
    <w:rPr>
      <w:b w:val="0"/>
      <w:bCs w:val="0"/>
    </w:rPr>
  </w:style>
  <w:style w:type="paragraph" w:customStyle="1" w:styleId="CharCharCharCharCharChar1Char">
    <w:name w:val="Char Char Char Char Char Char1 Char"/>
    <w:basedOn w:val="Normal"/>
    <w:qFormat/>
    <w:pPr>
      <w:widowControl/>
      <w:spacing w:after="160" w:line="240" w:lineRule="exact"/>
      <w:jc w:val="left"/>
    </w:pPr>
    <w:rPr>
      <w:rFonts w:ascii="Verdana" w:hAnsi="Verdana"/>
      <w:kern w:val="0"/>
      <w:szCs w:val="20"/>
      <w:lang w:eastAsia="en-US"/>
    </w:rPr>
  </w:style>
  <w:style w:type="paragraph" w:customStyle="1" w:styleId="24">
    <w:name w:val="2册标题4"/>
    <w:basedOn w:val="Normal"/>
    <w:next w:val="Normal"/>
    <w:qFormat/>
    <w:pPr>
      <w:spacing w:beforeLines="50" w:afterLines="50" w:line="300" w:lineRule="auto"/>
      <w:ind w:left="420" w:leftChars="200"/>
      <w:outlineLvl w:val="3"/>
    </w:pPr>
    <w:rPr>
      <w:rFonts w:ascii="Arial" w:eastAsia="幼圆" w:hAnsi="Arial" w:cs="Arial"/>
      <w:b/>
      <w:sz w:val="24"/>
      <w:szCs w:val="24"/>
    </w:rPr>
  </w:style>
  <w:style w:type="paragraph" w:customStyle="1" w:styleId="----0">
    <w:name w:val="--规划-表格-居左"/>
    <w:basedOn w:val="--"/>
    <w:qFormat/>
    <w:pPr>
      <w:spacing w:line="240" w:lineRule="auto"/>
      <w:ind w:firstLine="0" w:firstLineChars="0"/>
    </w:pPr>
    <w:rPr>
      <w:sz w:val="20"/>
    </w:rPr>
  </w:style>
  <w:style w:type="paragraph" w:customStyle="1" w:styleId="CharCharCharCharCharCharCharCharCharCharCharCharCharCharCharCharCharCharCharCharCharChar">
    <w:name w:val="Char Char Char Char Char Char Char Char Char Char Char Char Char Char Char Char Char Char Char Char Char Char"/>
    <w:basedOn w:val="Normal"/>
    <w:qFormat/>
    <w:pPr>
      <w:widowControl/>
      <w:spacing w:line="400" w:lineRule="exact"/>
      <w:jc w:val="center"/>
    </w:pPr>
    <w:rPr>
      <w:rFonts w:ascii="Verdana" w:hAnsi="Verdana"/>
      <w:kern w:val="0"/>
      <w:szCs w:val="20"/>
      <w:lang w:eastAsia="en-US"/>
    </w:rPr>
  </w:style>
  <w:style w:type="paragraph" w:customStyle="1" w:styleId="a10">
    <w:name w:val="方案要点"/>
    <w:basedOn w:val="Normal"/>
    <w:qFormat/>
    <w:pPr>
      <w:tabs>
        <w:tab w:val="left" w:pos="420"/>
      </w:tabs>
      <w:spacing w:line="360" w:lineRule="auto"/>
      <w:ind w:left="420" w:hanging="420"/>
    </w:pPr>
    <w:rPr>
      <w:rFonts w:ascii="仿宋_GB2312" w:eastAsia="仿宋_GB2312" w:hAnsi="宋体"/>
      <w:color w:val="000000"/>
      <w:sz w:val="28"/>
      <w:szCs w:val="28"/>
    </w:rPr>
  </w:style>
  <w:style w:type="paragraph" w:customStyle="1" w:styleId="---0">
    <w:name w:val="--规划-图和表"/>
    <w:next w:val="--"/>
    <w:qFormat/>
    <w:pPr>
      <w:jc w:val="center"/>
    </w:pPr>
    <w:rPr>
      <w:rFonts w:ascii="Times New Roman" w:eastAsia="宋体" w:hAnsi="Times New Roman" w:cs="Times New Roman"/>
      <w:kern w:val="2"/>
      <w:sz w:val="21"/>
      <w:lang w:val="en-US" w:eastAsia="zh-CN" w:bidi="ar-SA"/>
    </w:rPr>
  </w:style>
  <w:style w:type="paragraph" w:customStyle="1" w:styleId="Char115">
    <w:name w:val="Char1"/>
    <w:basedOn w:val="Normal"/>
    <w:qFormat/>
    <w:pPr>
      <w:jc w:val="left"/>
    </w:pPr>
    <w:rPr>
      <w:rFonts w:ascii="Tahoma" w:hAnsi="Tahoma"/>
      <w:sz w:val="24"/>
      <w:szCs w:val="20"/>
    </w:rPr>
  </w:style>
  <w:style w:type="paragraph" w:customStyle="1" w:styleId="a11">
    <w:name w:val="正文(首行缩进)"/>
    <w:qFormat/>
    <w:pPr>
      <w:spacing w:line="360" w:lineRule="auto"/>
      <w:ind w:firstLine="488" w:firstLineChars="200"/>
      <w:jc w:val="both"/>
    </w:pPr>
    <w:rPr>
      <w:rFonts w:ascii="Times New Roman" w:eastAsia="仿宋_GB2312" w:hAnsi="Times New Roman" w:cs="Times New Roman"/>
      <w:spacing w:val="2"/>
      <w:sz w:val="24"/>
      <w:szCs w:val="24"/>
      <w:lang w:val="en-US" w:eastAsia="zh-CN" w:bidi="ar-SA"/>
    </w:rPr>
  </w:style>
  <w:style w:type="paragraph" w:customStyle="1" w:styleId="9BOLD">
    <w:name w:val="汉仪细等线简9BOLD"/>
    <w:basedOn w:val="Normal"/>
    <w:qFormat/>
    <w:pPr>
      <w:autoSpaceDE w:val="0"/>
      <w:autoSpaceDN w:val="0"/>
      <w:adjustRightInd w:val="0"/>
      <w:spacing w:line="240" w:lineRule="atLeast"/>
    </w:pPr>
    <w:rPr>
      <w:rFonts w:ascii="汉仪细等线简" w:eastAsia="汉仪细等线简" w:hAnsi="Times New Roman"/>
      <w:b/>
      <w:bCs/>
      <w:kern w:val="0"/>
      <w:sz w:val="18"/>
      <w:szCs w:val="18"/>
    </w:rPr>
  </w:style>
  <w:style w:type="paragraph" w:customStyle="1" w:styleId="a12">
    <w:name w:val="列表项目"/>
    <w:basedOn w:val="Normal"/>
    <w:qFormat/>
    <w:pPr>
      <w:tabs>
        <w:tab w:val="left" w:pos="420"/>
        <w:tab w:val="left" w:pos="1080"/>
      </w:tabs>
      <w:spacing w:line="288" w:lineRule="auto"/>
      <w:ind w:left="1080" w:hanging="360"/>
    </w:pPr>
    <w:rPr>
      <w:rFonts w:ascii="Times New Roman" w:hAnsi="Times New Roman"/>
      <w:sz w:val="24"/>
      <w:szCs w:val="20"/>
    </w:rPr>
  </w:style>
  <w:style w:type="paragraph" w:customStyle="1" w:styleId="text1">
    <w:name w:val="text1"/>
    <w:basedOn w:val="Normal"/>
    <w:qFormat/>
    <w:pPr>
      <w:widowControl/>
      <w:spacing w:before="100" w:beforeAutospacing="1" w:after="100" w:afterAutospacing="1"/>
      <w:jc w:val="left"/>
    </w:pPr>
    <w:rPr>
      <w:rFonts w:ascii="宋体" w:hAnsi="宋体" w:cs="宋体"/>
      <w:kern w:val="0"/>
      <w:sz w:val="24"/>
      <w:szCs w:val="24"/>
    </w:rPr>
  </w:style>
  <w:style w:type="paragraph" w:customStyle="1" w:styleId="Default">
    <w:name w:val="Default"/>
    <w:qFormat/>
    <w:pPr>
      <w:widowControl w:val="0"/>
      <w:autoSpaceDE w:val="0"/>
      <w:autoSpaceDN w:val="0"/>
      <w:adjustRightInd w:val="0"/>
    </w:pPr>
    <w:rPr>
      <w:rFonts w:ascii="H Yb 2gj" w:eastAsia="H Yb 2gj" w:hAnsi="Times New Roman" w:cs="H Yb 2gj"/>
      <w:color w:val="000000"/>
      <w:sz w:val="24"/>
      <w:szCs w:val="24"/>
      <w:lang w:val="en-US" w:eastAsia="zh-CN" w:bidi="ar-SA"/>
    </w:rPr>
  </w:style>
  <w:style w:type="character" w:customStyle="1" w:styleId="z-Char1">
    <w:name w:val="z-窗体顶端 Char1"/>
    <w:basedOn w:val="DefaultParagraphFont"/>
    <w:link w:val="z-1"/>
    <w:uiPriority w:val="99"/>
    <w:semiHidden/>
    <w:qFormat/>
    <w:rPr>
      <w:rFonts w:ascii="Arial" w:eastAsia="宋体" w:hAnsi="Arial" w:cs="Arial"/>
      <w:vanish/>
      <w:sz w:val="16"/>
      <w:szCs w:val="16"/>
    </w:rPr>
  </w:style>
  <w:style w:type="paragraph" w:customStyle="1" w:styleId="font0">
    <w:name w:val="font0"/>
    <w:basedOn w:val="Normal"/>
    <w:qFormat/>
    <w:pPr>
      <w:widowControl/>
      <w:spacing w:before="100" w:beforeAutospacing="1" w:after="100" w:afterAutospacing="1"/>
      <w:jc w:val="left"/>
    </w:pPr>
    <w:rPr>
      <w:rFonts w:ascii="宋体" w:hAnsi="宋体" w:hint="eastAsia"/>
      <w:kern w:val="0"/>
      <w:sz w:val="24"/>
      <w:szCs w:val="24"/>
    </w:rPr>
  </w:style>
  <w:style w:type="paragraph" w:customStyle="1" w:styleId="CharCharCharCharCharChar1CharCharCharCharCharCharCharCharCharCharCharCharChar">
    <w:name w:val="Char Char Char Char Char Char1 Char Char Char Char Char Char Char Char Char Char Char Char Char"/>
    <w:basedOn w:val="Normal"/>
    <w:qFormat/>
    <w:pPr>
      <w:widowControl/>
      <w:spacing w:after="160" w:line="240" w:lineRule="exact"/>
      <w:jc w:val="left"/>
    </w:pPr>
    <w:rPr>
      <w:rFonts w:ascii="Arial" w:eastAsia="Times New Roman" w:hAnsi="Arial" w:cs="Verdana"/>
      <w:b/>
      <w:kern w:val="0"/>
      <w:sz w:val="24"/>
      <w:szCs w:val="24"/>
      <w:lang w:eastAsia="en-US"/>
    </w:rPr>
  </w:style>
  <w:style w:type="paragraph" w:customStyle="1" w:styleId="xl28">
    <w:name w:val="xl28"/>
    <w:basedOn w:val="Normal"/>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0"/>
      <w:szCs w:val="20"/>
    </w:rPr>
  </w:style>
  <w:style w:type="paragraph" w:customStyle="1" w:styleId="4">
    <w:name w:val="样式4"/>
    <w:basedOn w:val="Normal"/>
    <w:qFormat/>
    <w:pPr>
      <w:tabs>
        <w:tab w:val="left" w:pos="842"/>
      </w:tabs>
      <w:spacing w:line="360" w:lineRule="auto"/>
      <w:ind w:left="842" w:hanging="420"/>
    </w:pPr>
    <w:rPr>
      <w:rFonts w:ascii="Times New Roman" w:hAnsi="Times New Roman"/>
      <w:sz w:val="24"/>
      <w:szCs w:val="24"/>
    </w:rPr>
  </w:style>
  <w:style w:type="paragraph" w:customStyle="1" w:styleId="a13">
    <w:name w:val="文字"/>
    <w:basedOn w:val="Normal"/>
    <w:qFormat/>
    <w:pPr>
      <w:tabs>
        <w:tab w:val="left" w:pos="8520"/>
      </w:tabs>
      <w:spacing w:line="312" w:lineRule="auto"/>
      <w:ind w:right="-210" w:firstLine="556"/>
    </w:pPr>
    <w:rPr>
      <w:rFonts w:ascii="宋体" w:hAnsi="Times New Roman"/>
      <w:sz w:val="28"/>
      <w:szCs w:val="20"/>
    </w:rPr>
  </w:style>
  <w:style w:type="paragraph" w:customStyle="1" w:styleId="font5">
    <w:name w:val="font5"/>
    <w:basedOn w:val="Normal"/>
    <w:qFormat/>
    <w:pPr>
      <w:widowControl/>
      <w:spacing w:before="100" w:beforeAutospacing="1" w:after="100" w:afterAutospacing="1"/>
      <w:jc w:val="left"/>
    </w:pPr>
    <w:rPr>
      <w:rFonts w:ascii="宋体" w:hAnsi="宋体" w:hint="eastAsia"/>
      <w:kern w:val="0"/>
      <w:sz w:val="18"/>
      <w:szCs w:val="18"/>
    </w:rPr>
  </w:style>
  <w:style w:type="paragraph" w:customStyle="1" w:styleId="---1">
    <w:name w:val="--规划-题注"/>
    <w:basedOn w:val="Normal"/>
    <w:next w:val="--"/>
    <w:qFormat/>
    <w:pPr>
      <w:spacing w:line="360" w:lineRule="auto"/>
      <w:jc w:val="center"/>
    </w:pPr>
    <w:rPr>
      <w:rFonts w:ascii="Times New Roman" w:eastAsia="黑体" w:hAnsi="Times New Roman"/>
      <w:szCs w:val="24"/>
    </w:rPr>
  </w:style>
  <w:style w:type="paragraph" w:customStyle="1" w:styleId="font6">
    <w:name w:val="font6"/>
    <w:basedOn w:val="Normal"/>
    <w:qFormat/>
    <w:pPr>
      <w:widowControl/>
      <w:spacing w:before="100" w:beforeAutospacing="1" w:after="100" w:afterAutospacing="1"/>
      <w:jc w:val="left"/>
    </w:pPr>
    <w:rPr>
      <w:rFonts w:ascii="Times New Roman" w:hAnsi="Times New Roman"/>
      <w:kern w:val="0"/>
      <w:sz w:val="24"/>
      <w:szCs w:val="24"/>
    </w:rPr>
  </w:style>
  <w:style w:type="paragraph" w:customStyle="1" w:styleId="--Char">
    <w:name w:val="--规划正文 Char"/>
    <w:basedOn w:val="Normal"/>
    <w:qFormat/>
    <w:pPr>
      <w:spacing w:line="360" w:lineRule="auto"/>
      <w:ind w:firstLine="200" w:firstLineChars="200"/>
    </w:pPr>
    <w:rPr>
      <w:rFonts w:ascii="Times New Roman" w:hAnsi="Times New Roman"/>
      <w:sz w:val="24"/>
      <w:szCs w:val="24"/>
    </w:rPr>
  </w:style>
  <w:style w:type="paragraph" w:customStyle="1" w:styleId="a14">
    <w:name w:val="缺省文本"/>
    <w:basedOn w:val="Normal"/>
    <w:qFormat/>
    <w:pPr>
      <w:autoSpaceDE w:val="0"/>
      <w:autoSpaceDN w:val="0"/>
      <w:adjustRightInd w:val="0"/>
      <w:jc w:val="left"/>
    </w:pPr>
    <w:rPr>
      <w:rFonts w:ascii="Times New Roman" w:hAnsi="Times New Roman"/>
      <w:kern w:val="0"/>
      <w:szCs w:val="24"/>
    </w:rPr>
  </w:style>
  <w:style w:type="paragraph" w:customStyle="1" w:styleId="3">
    <w:name w:val="样式3"/>
    <w:basedOn w:val="Heading1"/>
    <w:qFormat/>
    <w:pPr>
      <w:tabs>
        <w:tab w:val="left" w:pos="420"/>
      </w:tabs>
      <w:spacing w:before="240" w:after="240" w:line="480" w:lineRule="auto"/>
      <w:ind w:left="420" w:right="210" w:hanging="420" w:rightChars="100"/>
      <w:jc w:val="left"/>
    </w:pPr>
    <w:rPr>
      <w:rFonts w:ascii="Times New Roman" w:hAnsi="Times New Roman"/>
      <w:sz w:val="32"/>
    </w:rPr>
  </w:style>
  <w:style w:type="paragraph" w:customStyle="1" w:styleId="xl24">
    <w:name w:val="xl24"/>
    <w:basedOn w:val="Normal"/>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4"/>
      <w:szCs w:val="24"/>
    </w:rPr>
  </w:style>
  <w:style w:type="paragraph" w:customStyle="1" w:styleId="xl72">
    <w:name w:val="xl72"/>
    <w:basedOn w:val="Normal"/>
    <w:qFormat/>
    <w:pPr>
      <w:widowControl/>
      <w:spacing w:before="100" w:beforeAutospacing="1" w:after="100" w:afterAutospacing="1"/>
      <w:jc w:val="left"/>
    </w:pPr>
    <w:rPr>
      <w:rFonts w:ascii="宋体" w:hAnsi="宋体"/>
      <w:b/>
      <w:bCs/>
      <w:kern w:val="0"/>
      <w:sz w:val="28"/>
      <w:szCs w:val="28"/>
    </w:rPr>
  </w:style>
  <w:style w:type="paragraph" w:customStyle="1" w:styleId="7">
    <w:name w:val="7"/>
    <w:basedOn w:val="Normal"/>
    <w:qFormat/>
    <w:pPr>
      <w:autoSpaceDE w:val="0"/>
      <w:autoSpaceDN w:val="0"/>
      <w:adjustRightInd w:val="0"/>
      <w:spacing w:line="270" w:lineRule="atLeast"/>
      <w:jc w:val="left"/>
    </w:pPr>
    <w:rPr>
      <w:rFonts w:ascii="宋体" w:hAnsi="Times New Roman"/>
      <w:kern w:val="0"/>
      <w:sz w:val="18"/>
      <w:szCs w:val="18"/>
    </w:rPr>
  </w:style>
  <w:style w:type="paragraph" w:customStyle="1" w:styleId="Char23">
    <w:name w:val="正文(首行缩进) Char"/>
    <w:qFormat/>
    <w:pPr>
      <w:spacing w:before="120" w:after="60" w:line="360" w:lineRule="auto"/>
      <w:ind w:firstLine="200" w:firstLineChars="200"/>
    </w:pPr>
    <w:rPr>
      <w:rFonts w:ascii="Times New Roman" w:eastAsia="仿宋_GB2312" w:hAnsi="Times New Roman" w:cs="Times New Roman"/>
      <w:spacing w:val="2"/>
      <w:kern w:val="24"/>
      <w:sz w:val="24"/>
      <w:szCs w:val="24"/>
      <w:lang w:val="en-US" w:eastAsia="zh-CN" w:bidi="ar-SA"/>
    </w:rPr>
  </w:style>
  <w:style w:type="paragraph" w:customStyle="1" w:styleId="8">
    <w:name w:val="汉议细等线简8"/>
    <w:qFormat/>
    <w:pPr>
      <w:widowControl w:val="0"/>
      <w:autoSpaceDE w:val="0"/>
      <w:autoSpaceDN w:val="0"/>
      <w:adjustRightInd w:val="0"/>
      <w:spacing w:line="260" w:lineRule="atLeast"/>
      <w:jc w:val="both"/>
    </w:pPr>
    <w:rPr>
      <w:rFonts w:ascii="汉仪细等线简" w:eastAsia="汉仪细等线简" w:hAnsi="Times New Roman" w:cs="Times New Roman"/>
      <w:color w:val="000000"/>
      <w:sz w:val="16"/>
      <w:szCs w:val="16"/>
      <w:lang w:val="en-US" w:eastAsia="zh-CN" w:bidi="ar-SA"/>
    </w:rPr>
  </w:style>
  <w:style w:type="paragraph" w:customStyle="1" w:styleId="80">
    <w:name w:val="8"/>
    <w:basedOn w:val="Normal"/>
    <w:next w:val="BodyTextIndent"/>
    <w:qFormat/>
    <w:pPr>
      <w:spacing w:after="120"/>
      <w:ind w:left="420" w:leftChars="200"/>
    </w:pPr>
    <w:rPr>
      <w:rFonts w:ascii="Times New Roman" w:hAnsi="Times New Roman"/>
      <w:szCs w:val="24"/>
    </w:rPr>
  </w:style>
  <w:style w:type="paragraph" w:customStyle="1" w:styleId="a15">
    <w:name w:val="姜文清定义的正文"/>
    <w:basedOn w:val="Normal"/>
    <w:qFormat/>
    <w:pPr>
      <w:spacing w:line="240" w:lineRule="atLeast"/>
      <w:ind w:firstLine="567"/>
    </w:pPr>
    <w:rPr>
      <w:rFonts w:ascii="Times New Roman" w:hAnsi="Times New Roman"/>
      <w:szCs w:val="20"/>
    </w:rPr>
  </w:style>
  <w:style w:type="paragraph" w:customStyle="1" w:styleId="CM2">
    <w:name w:val="CM2"/>
    <w:basedOn w:val="Default"/>
    <w:next w:val="Default"/>
    <w:qFormat/>
    <w:pPr>
      <w:spacing w:line="200" w:lineRule="atLeast"/>
    </w:pPr>
    <w:rPr>
      <w:rFonts w:ascii="Arial" w:eastAsia="宋体" w:hAnsi="Arial" w:cs="Times New Roman"/>
      <w:color w:val="auto"/>
    </w:rPr>
  </w:style>
  <w:style w:type="character" w:customStyle="1" w:styleId="z-Char10">
    <w:name w:val="z-窗体底端 Char1"/>
    <w:basedOn w:val="DefaultParagraphFont"/>
    <w:link w:val="z-10"/>
    <w:uiPriority w:val="99"/>
    <w:semiHidden/>
    <w:qFormat/>
    <w:rPr>
      <w:rFonts w:ascii="Arial" w:eastAsia="宋体" w:hAnsi="Arial" w:cs="Arial"/>
      <w:vanish/>
      <w:sz w:val="16"/>
      <w:szCs w:val="16"/>
    </w:rPr>
  </w:style>
  <w:style w:type="paragraph" w:customStyle="1" w:styleId="a140">
    <w:name w:val="a14"/>
    <w:basedOn w:val="Normal"/>
    <w:qFormat/>
    <w:pPr>
      <w:widowControl/>
      <w:spacing w:before="100" w:beforeAutospacing="1" w:after="100" w:afterAutospacing="1" w:line="300" w:lineRule="atLeast"/>
      <w:ind w:firstLine="375"/>
      <w:jc w:val="left"/>
    </w:pPr>
    <w:rPr>
      <w:rFonts w:ascii="宋体" w:hAnsi="宋体" w:cs="宋体"/>
      <w:kern w:val="0"/>
      <w:szCs w:val="21"/>
    </w:rPr>
  </w:style>
  <w:style w:type="paragraph" w:customStyle="1" w:styleId="a16">
    <w:name w:val="正文样式"/>
    <w:basedOn w:val="Normal"/>
    <w:qFormat/>
    <w:pPr>
      <w:adjustRightInd w:val="0"/>
      <w:spacing w:line="400" w:lineRule="atLeast"/>
      <w:ind w:firstLine="570" w:firstLineChars="203"/>
      <w:textAlignment w:val="baseline"/>
    </w:pPr>
    <w:rPr>
      <w:rFonts w:ascii="Times New Roman" w:eastAsia="仿宋_GB2312" w:hAnsi="Times New Roman"/>
      <w:kern w:val="0"/>
      <w:sz w:val="28"/>
      <w:szCs w:val="20"/>
    </w:rPr>
  </w:style>
  <w:style w:type="paragraph" w:customStyle="1" w:styleId="xl25">
    <w:name w:val="xl25"/>
    <w:basedOn w:val="Normal"/>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kern w:val="0"/>
      <w:sz w:val="24"/>
      <w:szCs w:val="24"/>
    </w:rPr>
  </w:style>
  <w:style w:type="paragraph" w:customStyle="1" w:styleId="a17">
    <w:name w:val="表格字"/>
    <w:basedOn w:val="Normal"/>
    <w:qFormat/>
    <w:pPr>
      <w:adjustRightInd w:val="0"/>
      <w:jc w:val="center"/>
    </w:pPr>
    <w:rPr>
      <w:rFonts w:ascii="宋体" w:hAnsi="Times New Roman"/>
      <w:sz w:val="24"/>
      <w:szCs w:val="20"/>
    </w:rPr>
  </w:style>
  <w:style w:type="paragraph" w:customStyle="1" w:styleId="qw">
    <w:name w:val="qw"/>
    <w:qFormat/>
    <w:pPr>
      <w:widowControl w:val="0"/>
      <w:adjustRightInd w:val="0"/>
      <w:spacing w:line="312" w:lineRule="atLeast"/>
      <w:jc w:val="both"/>
      <w:textAlignment w:val="baseline"/>
    </w:pPr>
    <w:rPr>
      <w:rFonts w:ascii="宋体" w:eastAsia="宋体" w:hAnsi="Times New Roman" w:cs="Times New Roman"/>
      <w:sz w:val="24"/>
      <w:lang w:val="en-US" w:eastAsia="zh-CN" w:bidi="ar-SA"/>
    </w:rPr>
  </w:style>
  <w:style w:type="paragraph" w:customStyle="1" w:styleId="a18">
    <w:name w:val="评价"/>
    <w:basedOn w:val="Normal"/>
    <w:qFormat/>
    <w:pPr>
      <w:spacing w:afterLines="20"/>
      <w:ind w:firstLine="1446" w:firstLineChars="200"/>
    </w:pPr>
    <w:rPr>
      <w:sz w:val="24"/>
      <w:szCs w:val="24"/>
    </w:rPr>
  </w:style>
  <w:style w:type="paragraph" w:customStyle="1" w:styleId="13">
    <w:name w:val="修订1"/>
    <w:uiPriority w:val="99"/>
    <w:semiHidden/>
    <w:qFormat/>
    <w:rPr>
      <w:rFonts w:ascii="Times New Roman" w:eastAsia="宋体" w:hAnsi="Times New Roman" w:cs="Times New Roman"/>
      <w:kern w:val="2"/>
      <w:sz w:val="21"/>
      <w:szCs w:val="24"/>
      <w:lang w:val="en-US" w:eastAsia="zh-CN" w:bidi="ar-SA"/>
    </w:rPr>
  </w:style>
  <w:style w:type="paragraph" w:customStyle="1" w:styleId="a19">
    <w:name w:val="正文(缩进) 五号"/>
    <w:basedOn w:val="Normal"/>
    <w:qFormat/>
    <w:pPr>
      <w:widowControl/>
      <w:spacing w:after="120" w:line="360" w:lineRule="auto"/>
      <w:ind w:firstLine="420" w:firstLineChars="200"/>
      <w:jc w:val="left"/>
    </w:pPr>
    <w:rPr>
      <w:rFonts w:ascii="Arial" w:hAnsi="Arial" w:cs="宋体"/>
      <w:kern w:val="0"/>
      <w:szCs w:val="20"/>
    </w:rPr>
  </w:style>
  <w:style w:type="paragraph" w:customStyle="1" w:styleId="a20">
    <w:name w:val="封面标题"/>
    <w:basedOn w:val="Normal"/>
    <w:qFormat/>
    <w:pPr>
      <w:spacing w:line="360" w:lineRule="auto"/>
      <w:jc w:val="center"/>
    </w:pPr>
    <w:rPr>
      <w:rFonts w:ascii="Times New Roman" w:eastAsia="黑体" w:hAnsi="Times New Roman"/>
      <w:sz w:val="48"/>
      <w:szCs w:val="20"/>
    </w:rPr>
  </w:style>
  <w:style w:type="paragraph" w:customStyle="1" w:styleId="20">
    <w:name w:val="列出段落2"/>
    <w:basedOn w:val="Normal"/>
    <w:qFormat/>
    <w:pPr>
      <w:ind w:firstLine="420" w:firstLineChars="200"/>
    </w:pPr>
    <w:rPr>
      <w:szCs w:val="20"/>
    </w:rPr>
  </w:style>
  <w:style w:type="paragraph" w:styleId="NoSpacing">
    <w:name w:val="No Spacing"/>
    <w:uiPriority w:val="1"/>
    <w:qFormat/>
    <w:pPr>
      <w:widowControl w:val="0"/>
      <w:jc w:val="both"/>
    </w:pPr>
    <w:rPr>
      <w:rFonts w:ascii="Calibri" w:eastAsia="宋体" w:hAnsi="Calibri" w:cs="Times New Roman"/>
      <w:kern w:val="2"/>
      <w:sz w:val="21"/>
      <w:szCs w:val="22"/>
      <w:lang w:val="en-US" w:eastAsia="zh-CN" w:bidi="ar-SA"/>
    </w:rPr>
  </w:style>
  <w:style w:type="character" w:customStyle="1" w:styleId="font31">
    <w:name w:val="font31"/>
    <w:basedOn w:val="DefaultParagraphFont"/>
    <w:qFormat/>
    <w:rPr>
      <w:rFonts w:ascii="Times New Roman" w:hAnsi="Times New Roman" w:cs="Times New Roman" w:hint="default"/>
      <w:color w:val="000000"/>
      <w:sz w:val="21"/>
      <w:szCs w:val="21"/>
      <w:u w:val="none"/>
    </w:rPr>
  </w:style>
  <w:style w:type="character" w:customStyle="1" w:styleId="Char116">
    <w:name w:val="正文缩进 Char1"/>
    <w:qFormat/>
    <w:rPr>
      <w:rFonts w:eastAsia="宋体"/>
      <w:kern w:val="2"/>
      <w:sz w:val="21"/>
      <w:lang w:val="en-US" w:eastAsia="zh-CN" w:bidi="ar-SA"/>
    </w:rPr>
  </w:style>
  <w:style w:type="character" w:customStyle="1" w:styleId="a21">
    <w:name w:val="列表段落 字符"/>
    <w:link w:val="10"/>
    <w:qFormat/>
    <w:rPr>
      <w:rFonts w:ascii="Calibri" w:eastAsia="宋体" w:hAnsi="Calibri" w:cs="Calibri"/>
      <w:szCs w:val="21"/>
    </w:rPr>
  </w:style>
  <w:style w:type="paragraph" w:customStyle="1" w:styleId="xl75">
    <w:name w:val="xl75"/>
    <w:basedOn w:val="Normal"/>
    <w:qFormat/>
    <w:pPr>
      <w:widowControl/>
      <w:spacing w:before="100" w:beforeAutospacing="1" w:after="100" w:afterAutospacing="1"/>
      <w:jc w:val="center"/>
      <w:textAlignment w:val="center"/>
    </w:pPr>
    <w:rPr>
      <w:rFonts w:ascii="新宋体" w:eastAsia="新宋体" w:hAnsi="新宋体" w:cs="宋体"/>
      <w:kern w:val="0"/>
      <w:sz w:val="24"/>
      <w:szCs w:val="24"/>
    </w:rPr>
  </w:style>
  <w:style w:type="paragraph" w:customStyle="1" w:styleId="a22">
    <w:name w:val=".正文"/>
    <w:basedOn w:val="Normal"/>
    <w:qFormat/>
    <w:pPr>
      <w:spacing w:beforeLines="50"/>
      <w:ind w:firstLine="200" w:firstLineChars="200"/>
    </w:pPr>
    <w:rPr>
      <w:rFonts w:eastAsia="华文仿宋"/>
    </w:rPr>
  </w:style>
  <w:style w:type="paragraph" w:customStyle="1" w:styleId="p9">
    <w:name w:val="p9"/>
    <w:basedOn w:val="Normal"/>
    <w:autoRedefine/>
    <w:qFormat/>
    <w:pPr>
      <w:widowControl/>
      <w:spacing w:before="100" w:beforeAutospacing="1" w:after="100" w:afterAutospacing="1"/>
      <w:jc w:val="left"/>
    </w:pPr>
    <w:rPr>
      <w:rFonts w:eastAsia="Arial Unicode MS" w:asciiTheme="minorHAnsi" w:hAnsiTheme="minorHAnsi" w:cs="Arial Unicode MS"/>
      <w:color w:val="000000"/>
      <w:kern w:val="0"/>
      <w:sz w:val="18"/>
      <w:szCs w:val="18"/>
    </w:rPr>
  </w:style>
  <w:style w:type="paragraph" w:styleId="Quote">
    <w:name w:val="Quote"/>
    <w:next w:val="Normal"/>
    <w:uiPriority w:val="99"/>
    <w:qFormat/>
    <w:pPr>
      <w:widowControl w:val="0"/>
      <w:jc w:val="both"/>
    </w:pPr>
    <w:rPr>
      <w:rFonts w:ascii="Calibri" w:eastAsia="宋体" w:hAnsi="Calibri" w:cs="Calibri"/>
      <w:i/>
      <w:iCs/>
      <w:color w:val="000000"/>
      <w:kern w:val="2"/>
      <w:sz w:val="22"/>
      <w:szCs w:val="22"/>
      <w:lang w:val="en-US"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footer" Target="footer1.xml" /><Relationship Id="rId12" Type="http://schemas.openxmlformats.org/officeDocument/2006/relationships/image" Target="media/image7.png" /><Relationship Id="rId13" Type="http://schemas.openxmlformats.org/officeDocument/2006/relationships/image" Target="media/image8.png" /><Relationship Id="rId14" Type="http://schemas.openxmlformats.org/officeDocument/2006/relationships/theme" Target="theme/theme1.xml" /><Relationship Id="rId15" Type="http://schemas.openxmlformats.org/officeDocument/2006/relationships/numbering" Target="numbering.xml" /><Relationship Id="rId16"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emf"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jpe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5"/>
    <customShpInfo spid="_x0000_s1026"/>
    <customShpInfo spid="_x0000_s1027"/>
    <customShpInfo spid="_x0000_s102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86</Pages>
  <Words>2362</Words>
  <Characters>2414</Characters>
  <Application>Microsoft Office Word</Application>
  <DocSecurity>0</DocSecurity>
  <Lines>448</Lines>
  <Paragraphs>126</Paragraphs>
  <ScaleCrop>false</ScaleCrop>
  <Company>mycomputer</Company>
  <LinksUpToDate>false</LinksUpToDate>
  <CharactersWithSpaces>2441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中正招标 党工</cp:lastModifiedBy>
  <cp:revision>413</cp:revision>
  <cp:lastPrinted>2019-10-21T08:50:00Z</cp:lastPrinted>
  <dcterms:created xsi:type="dcterms:W3CDTF">2020-09-24T06:11:00Z</dcterms:created>
  <dcterms:modified xsi:type="dcterms:W3CDTF">2025-01-10T11:37:36Z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70AD39B7B3E74444B55CB54D119418A2_13</vt:lpwstr>
  </property>
  <property fmtid="{D5CDD505-2E9C-101B-9397-08002B2CF9AE}" pid="3" name="KSOProductBuildVer">
    <vt:lpwstr>2052-12.1.0.19770</vt:lpwstr>
  </property>
  <property fmtid="{D5CDD505-2E9C-101B-9397-08002B2CF9AE}" pid="4" name="KSOTemplateDocerSaveRecord">
    <vt:lpwstr>eyJoZGlkIjoiMzc3NDQ3NDMwNDI1NjM4YWE2ZmE5MjkzN2JmZGM2OTgiLCJ1c2VySWQiOiI0NjMwNjU1NzcifQ==</vt:lpwstr>
  </property>
</Properties>
</file>